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2DD4" w14:textId="21DA8497" w:rsidR="005577D4" w:rsidRPr="006C607F" w:rsidRDefault="00A556A1" w:rsidP="006F7992">
      <w:pPr>
        <w:spacing w:line="360" w:lineRule="auto"/>
        <w:jc w:val="center"/>
        <w:rPr>
          <w:rFonts w:ascii="Arial" w:hAnsi="Arial" w:cs="Arial"/>
          <w:b/>
          <w:sz w:val="24"/>
          <w:szCs w:val="24"/>
          <w:lang w:val="es-ES"/>
        </w:rPr>
      </w:pPr>
      <w:r w:rsidRPr="006C607F">
        <w:rPr>
          <w:rFonts w:ascii="Arial" w:hAnsi="Arial" w:cs="Arial"/>
          <w:b/>
          <w:sz w:val="24"/>
          <w:szCs w:val="24"/>
          <w:lang w:val="es-ES"/>
        </w:rPr>
        <w:t xml:space="preserve">Los </w:t>
      </w:r>
      <w:r w:rsidR="004B2597" w:rsidRPr="006C607F">
        <w:rPr>
          <w:rFonts w:ascii="Arial" w:hAnsi="Arial" w:cs="Arial"/>
          <w:b/>
          <w:sz w:val="24"/>
          <w:szCs w:val="24"/>
          <w:lang w:val="es-ES"/>
        </w:rPr>
        <w:t>delitos aeronáuticos</w:t>
      </w:r>
      <w:r w:rsidR="00EE5A8F">
        <w:rPr>
          <w:rFonts w:ascii="Arial" w:hAnsi="Arial" w:cs="Arial"/>
          <w:b/>
          <w:sz w:val="24"/>
          <w:szCs w:val="24"/>
          <w:lang w:val="es-ES"/>
        </w:rPr>
        <w:t xml:space="preserve">. </w:t>
      </w:r>
      <w:r w:rsidR="004C26C6" w:rsidRPr="006C607F">
        <w:rPr>
          <w:rFonts w:ascii="Arial" w:hAnsi="Arial" w:cs="Arial"/>
          <w:b/>
          <w:sz w:val="24"/>
          <w:szCs w:val="24"/>
          <w:lang w:val="es-ES"/>
        </w:rPr>
        <w:t>La imperiosa n</w:t>
      </w:r>
      <w:r w:rsidR="005577D4" w:rsidRPr="006C607F">
        <w:rPr>
          <w:rFonts w:ascii="Arial" w:hAnsi="Arial" w:cs="Arial"/>
          <w:b/>
          <w:sz w:val="24"/>
          <w:szCs w:val="24"/>
          <w:lang w:val="es-ES"/>
        </w:rPr>
        <w:t>ecesidad de generar un nuevo ordenamiento normativo</w:t>
      </w:r>
    </w:p>
    <w:p w14:paraId="69BD6CB7" w14:textId="4DB1B97F" w:rsidR="004C26C6" w:rsidRPr="001C1B9B" w:rsidRDefault="004C26C6" w:rsidP="00EE5A8F">
      <w:pPr>
        <w:spacing w:line="240" w:lineRule="auto"/>
        <w:jc w:val="center"/>
        <w:rPr>
          <w:rFonts w:ascii="Arial" w:hAnsi="Arial" w:cs="Arial"/>
          <w:i/>
          <w:sz w:val="21"/>
          <w:szCs w:val="21"/>
          <w:lang w:val="es-ES"/>
        </w:rPr>
      </w:pPr>
      <w:r w:rsidRPr="001C1B9B">
        <w:rPr>
          <w:rFonts w:ascii="Arial" w:hAnsi="Arial" w:cs="Arial"/>
          <w:i/>
          <w:sz w:val="21"/>
          <w:szCs w:val="21"/>
          <w:lang w:val="es-ES"/>
        </w:rPr>
        <w:t>Sergio Hernán Salaverry</w:t>
      </w:r>
    </w:p>
    <w:p w14:paraId="4E89C1DF" w14:textId="4B7AB2D9" w:rsidR="00AB2174" w:rsidRDefault="00AB2174" w:rsidP="00EE5A8F">
      <w:pPr>
        <w:spacing w:line="240" w:lineRule="auto"/>
        <w:jc w:val="center"/>
        <w:rPr>
          <w:rFonts w:ascii="Arial" w:hAnsi="Arial" w:cs="Arial"/>
          <w:i/>
          <w:sz w:val="20"/>
          <w:szCs w:val="20"/>
          <w:lang w:val="es-ES"/>
        </w:rPr>
      </w:pPr>
      <w:r>
        <w:rPr>
          <w:rFonts w:ascii="Arial" w:hAnsi="Arial" w:cs="Arial"/>
          <w:i/>
          <w:sz w:val="20"/>
          <w:szCs w:val="20"/>
          <w:lang w:val="es-ES"/>
        </w:rPr>
        <w:t>Universidad Nacional de Mar del Plata, Argentina</w:t>
      </w:r>
    </w:p>
    <w:p w14:paraId="3D2C0C58" w14:textId="77777777" w:rsidR="00EE5A8F" w:rsidRDefault="00EE5A8F" w:rsidP="00EE5A8F">
      <w:pPr>
        <w:spacing w:line="240" w:lineRule="auto"/>
        <w:jc w:val="center"/>
        <w:rPr>
          <w:rFonts w:ascii="Arial" w:hAnsi="Arial" w:cs="Arial"/>
          <w:i/>
          <w:sz w:val="20"/>
          <w:szCs w:val="20"/>
          <w:lang w:val="es-ES"/>
        </w:rPr>
      </w:pPr>
    </w:p>
    <w:p w14:paraId="5963E16A" w14:textId="39367D33" w:rsidR="001C1B9B" w:rsidRPr="001C1B9B" w:rsidRDefault="001C1B9B" w:rsidP="00681AA4">
      <w:pPr>
        <w:spacing w:line="240" w:lineRule="auto"/>
        <w:jc w:val="center"/>
        <w:rPr>
          <w:rFonts w:ascii="Arial" w:hAnsi="Arial" w:cs="Arial"/>
          <w:iCs/>
          <w:sz w:val="20"/>
          <w:szCs w:val="20"/>
          <w:lang w:val="es-ES"/>
        </w:rPr>
      </w:pPr>
      <w:r w:rsidRPr="001C1B9B">
        <w:rPr>
          <w:rFonts w:ascii="Arial" w:hAnsi="Arial" w:cs="Arial"/>
          <w:iCs/>
          <w:sz w:val="20"/>
          <w:szCs w:val="20"/>
          <w:lang w:val="es-ES"/>
        </w:rPr>
        <w:t xml:space="preserve">Fecha de recepción: </w:t>
      </w:r>
      <w:r w:rsidR="004F7AD2">
        <w:rPr>
          <w:rFonts w:ascii="Arial" w:hAnsi="Arial" w:cs="Arial"/>
          <w:iCs/>
          <w:sz w:val="20"/>
          <w:szCs w:val="20"/>
          <w:lang w:val="es-ES"/>
        </w:rPr>
        <w:t>05/11</w:t>
      </w:r>
      <w:r w:rsidR="00681AA4">
        <w:rPr>
          <w:rFonts w:ascii="Arial" w:hAnsi="Arial" w:cs="Arial"/>
          <w:iCs/>
          <w:sz w:val="20"/>
          <w:szCs w:val="20"/>
          <w:lang w:val="es-ES"/>
        </w:rPr>
        <w:t>/202</w:t>
      </w:r>
      <w:r w:rsidR="002B3108">
        <w:rPr>
          <w:rFonts w:ascii="Arial" w:hAnsi="Arial" w:cs="Arial"/>
          <w:iCs/>
          <w:sz w:val="20"/>
          <w:szCs w:val="20"/>
          <w:lang w:val="es-ES"/>
        </w:rPr>
        <w:t>4</w:t>
      </w:r>
    </w:p>
    <w:p w14:paraId="33A967E4" w14:textId="1616FB7E" w:rsidR="00B146EC" w:rsidRDefault="001C1B9B" w:rsidP="00681AA4">
      <w:pPr>
        <w:spacing w:line="240" w:lineRule="auto"/>
        <w:jc w:val="center"/>
        <w:rPr>
          <w:rFonts w:ascii="Arial" w:hAnsi="Arial" w:cs="Arial"/>
          <w:iCs/>
          <w:sz w:val="20"/>
          <w:szCs w:val="20"/>
          <w:lang w:val="es-ES"/>
        </w:rPr>
      </w:pPr>
      <w:r>
        <w:rPr>
          <w:rFonts w:ascii="Arial" w:hAnsi="Arial" w:cs="Arial"/>
          <w:iCs/>
          <w:sz w:val="20"/>
          <w:szCs w:val="20"/>
          <w:lang w:val="es-ES"/>
        </w:rPr>
        <w:t xml:space="preserve"> </w:t>
      </w:r>
      <w:r w:rsidRPr="001C1B9B">
        <w:rPr>
          <w:rFonts w:ascii="Arial" w:hAnsi="Arial" w:cs="Arial"/>
          <w:iCs/>
          <w:sz w:val="20"/>
          <w:szCs w:val="20"/>
          <w:lang w:val="es-ES"/>
        </w:rPr>
        <w:t xml:space="preserve">Fecha de aceptación: </w:t>
      </w:r>
      <w:r w:rsidR="00370001">
        <w:rPr>
          <w:rFonts w:ascii="Arial" w:hAnsi="Arial" w:cs="Arial"/>
          <w:iCs/>
          <w:sz w:val="20"/>
          <w:szCs w:val="20"/>
          <w:lang w:val="es-ES"/>
        </w:rPr>
        <w:t>23/05/2025</w:t>
      </w:r>
    </w:p>
    <w:p w14:paraId="002DD879" w14:textId="281D8786" w:rsidR="001C1B9B" w:rsidRDefault="001C1B9B" w:rsidP="001C1B9B">
      <w:pPr>
        <w:spacing w:line="360" w:lineRule="auto"/>
        <w:jc w:val="center"/>
        <w:rPr>
          <w:rFonts w:ascii="Arial" w:hAnsi="Arial" w:cs="Arial"/>
          <w:iCs/>
          <w:sz w:val="20"/>
          <w:szCs w:val="20"/>
          <w:lang w:val="es-ES"/>
        </w:rPr>
      </w:pPr>
    </w:p>
    <w:p w14:paraId="0FE4DB7A" w14:textId="77777777" w:rsidR="00EE5A8F" w:rsidRPr="001C1B9B" w:rsidRDefault="00EE5A8F" w:rsidP="001C1B9B">
      <w:pPr>
        <w:spacing w:line="360" w:lineRule="auto"/>
        <w:jc w:val="center"/>
        <w:rPr>
          <w:rFonts w:ascii="Arial" w:hAnsi="Arial" w:cs="Arial"/>
          <w:iCs/>
          <w:sz w:val="20"/>
          <w:szCs w:val="20"/>
          <w:lang w:val="es-ES"/>
        </w:rPr>
      </w:pPr>
    </w:p>
    <w:p w14:paraId="0C66CC1F" w14:textId="539D6C39" w:rsidR="006F7992" w:rsidRPr="00C062A8" w:rsidRDefault="00B146EC" w:rsidP="006F7992">
      <w:pPr>
        <w:autoSpaceDE w:val="0"/>
        <w:autoSpaceDN w:val="0"/>
        <w:adjustRightInd w:val="0"/>
        <w:spacing w:after="0" w:line="360" w:lineRule="auto"/>
        <w:jc w:val="both"/>
        <w:rPr>
          <w:rFonts w:ascii="Arial" w:hAnsi="Arial" w:cs="Arial"/>
          <w:color w:val="000000"/>
          <w:sz w:val="20"/>
          <w:szCs w:val="20"/>
          <w:lang w:val="es-ES"/>
        </w:rPr>
      </w:pPr>
      <w:r w:rsidRPr="00B146EC">
        <w:rPr>
          <w:rFonts w:ascii="Arial" w:hAnsi="Arial" w:cs="Arial"/>
          <w:b/>
          <w:bCs/>
          <w:color w:val="000000"/>
          <w:sz w:val="20"/>
          <w:szCs w:val="20"/>
          <w:lang w:val="es-ES"/>
        </w:rPr>
        <w:t>R</w:t>
      </w:r>
      <w:r w:rsidR="001C1B9B">
        <w:rPr>
          <w:rFonts w:ascii="Arial" w:hAnsi="Arial" w:cs="Arial"/>
          <w:b/>
          <w:bCs/>
          <w:color w:val="000000"/>
          <w:sz w:val="20"/>
          <w:szCs w:val="20"/>
          <w:lang w:val="es-ES"/>
        </w:rPr>
        <w:t>esumen</w:t>
      </w:r>
      <w:r w:rsidRPr="00B146EC">
        <w:rPr>
          <w:rFonts w:ascii="Arial" w:hAnsi="Arial" w:cs="Arial"/>
          <w:b/>
          <w:bCs/>
          <w:color w:val="000000"/>
          <w:sz w:val="20"/>
          <w:szCs w:val="20"/>
          <w:lang w:val="es-ES"/>
        </w:rPr>
        <w:t xml:space="preserve">: </w:t>
      </w:r>
      <w:r w:rsidRPr="00C062A8">
        <w:rPr>
          <w:rFonts w:ascii="Arial" w:hAnsi="Arial" w:cs="Arial"/>
          <w:color w:val="000000"/>
          <w:sz w:val="20"/>
          <w:szCs w:val="20"/>
          <w:lang w:val="es-ES"/>
        </w:rPr>
        <w:t>Este trabajo aborda la complejidad normativa en torno a los delitos aeronáuticos en Argentina, evidenciando discrepancias interpretativas y conflictos jurídicos. Comienza con una revisión histórica de la normativa aeronáutica desde 1925 hasta la actualidad, destacando la ley 14.307 como referencia principal. Luego, presenta casos judiciales que ilustran las diferentes interpretaciones sobre qué normativa aplicar en casos concretos. Destaca la necesidad de una reforma legislativa urgente para resolver la incertidumbre jurídica y garantizar la seguridad jurídica. Propone la participación de expertos y la consideración de estándares internacionales para desarrollar una legislación clara, coherente y actualizada</w:t>
      </w:r>
      <w:r w:rsidR="006F7992" w:rsidRPr="00C062A8">
        <w:rPr>
          <w:rFonts w:ascii="Arial" w:hAnsi="Arial" w:cs="Arial"/>
          <w:color w:val="000000"/>
          <w:sz w:val="20"/>
          <w:szCs w:val="20"/>
          <w:lang w:val="es-ES"/>
        </w:rPr>
        <w:t>.</w:t>
      </w:r>
    </w:p>
    <w:p w14:paraId="24FEC698" w14:textId="77777777" w:rsidR="001C1B9B" w:rsidRPr="00EE5A8F" w:rsidRDefault="001C1B9B" w:rsidP="001C1B9B">
      <w:pPr>
        <w:autoSpaceDE w:val="0"/>
        <w:autoSpaceDN w:val="0"/>
        <w:adjustRightInd w:val="0"/>
        <w:spacing w:after="0" w:line="360" w:lineRule="auto"/>
        <w:jc w:val="both"/>
        <w:rPr>
          <w:rFonts w:ascii="Arial" w:hAnsi="Arial" w:cs="Arial"/>
          <w:b/>
          <w:bCs/>
          <w:color w:val="000000"/>
          <w:sz w:val="20"/>
          <w:szCs w:val="20"/>
        </w:rPr>
      </w:pPr>
    </w:p>
    <w:p w14:paraId="62799588" w14:textId="30E1F6A4" w:rsidR="001C1B9B" w:rsidRPr="00370001" w:rsidRDefault="001C1B9B" w:rsidP="001C1B9B">
      <w:pPr>
        <w:autoSpaceDE w:val="0"/>
        <w:autoSpaceDN w:val="0"/>
        <w:adjustRightInd w:val="0"/>
        <w:spacing w:after="0" w:line="360" w:lineRule="auto"/>
        <w:jc w:val="both"/>
        <w:rPr>
          <w:rFonts w:ascii="Arial" w:hAnsi="Arial" w:cs="Arial"/>
          <w:color w:val="000000"/>
          <w:sz w:val="20"/>
          <w:szCs w:val="20"/>
        </w:rPr>
      </w:pPr>
      <w:r w:rsidRPr="00370001">
        <w:rPr>
          <w:rFonts w:ascii="Arial" w:hAnsi="Arial" w:cs="Arial"/>
          <w:b/>
          <w:bCs/>
          <w:color w:val="000000"/>
          <w:sz w:val="20"/>
          <w:szCs w:val="20"/>
        </w:rPr>
        <w:t xml:space="preserve">Palabras claves: </w:t>
      </w:r>
      <w:r w:rsidRPr="00370001">
        <w:rPr>
          <w:rFonts w:ascii="Arial" w:hAnsi="Arial" w:cs="Arial"/>
          <w:color w:val="000000"/>
          <w:sz w:val="20"/>
          <w:szCs w:val="20"/>
        </w:rPr>
        <w:t xml:space="preserve">Código aeronáutico </w:t>
      </w:r>
      <w:r w:rsidR="00370001" w:rsidRPr="00370001">
        <w:rPr>
          <w:rFonts w:ascii="Arial" w:hAnsi="Arial" w:cs="Arial"/>
          <w:color w:val="000000"/>
          <w:sz w:val="20"/>
          <w:szCs w:val="20"/>
        </w:rPr>
        <w:t>- delitos aeronáuticos</w:t>
      </w:r>
    </w:p>
    <w:p w14:paraId="58A48AA9" w14:textId="77777777" w:rsidR="006F7992" w:rsidRPr="00370001" w:rsidRDefault="006F7992" w:rsidP="006F7992">
      <w:pPr>
        <w:autoSpaceDE w:val="0"/>
        <w:autoSpaceDN w:val="0"/>
        <w:adjustRightInd w:val="0"/>
        <w:spacing w:after="0" w:line="360" w:lineRule="auto"/>
        <w:jc w:val="both"/>
        <w:rPr>
          <w:rFonts w:ascii="Arial" w:hAnsi="Arial" w:cs="Arial"/>
          <w:color w:val="000000"/>
          <w:sz w:val="20"/>
          <w:szCs w:val="20"/>
        </w:rPr>
      </w:pPr>
    </w:p>
    <w:p w14:paraId="1C355482" w14:textId="5D157C79" w:rsidR="006C607F" w:rsidRPr="001C1B9B" w:rsidRDefault="006F7992" w:rsidP="001C1B9B">
      <w:pPr>
        <w:autoSpaceDE w:val="0"/>
        <w:autoSpaceDN w:val="0"/>
        <w:adjustRightInd w:val="0"/>
        <w:spacing w:after="0" w:line="360" w:lineRule="auto"/>
        <w:jc w:val="both"/>
        <w:rPr>
          <w:rFonts w:ascii="Arial" w:hAnsi="Arial" w:cs="Arial"/>
          <w:b/>
          <w:color w:val="000000"/>
          <w:sz w:val="20"/>
          <w:szCs w:val="20"/>
          <w:lang w:val="en-US"/>
        </w:rPr>
      </w:pPr>
      <w:r w:rsidRPr="0028635A">
        <w:rPr>
          <w:rFonts w:ascii="Arial" w:hAnsi="Arial" w:cs="Arial"/>
          <w:b/>
          <w:color w:val="000000"/>
          <w:sz w:val="20"/>
          <w:szCs w:val="20"/>
          <w:lang w:val="en-US"/>
        </w:rPr>
        <w:t>A</w:t>
      </w:r>
      <w:r w:rsidR="001C1B9B">
        <w:rPr>
          <w:rFonts w:ascii="Arial" w:hAnsi="Arial" w:cs="Arial"/>
          <w:b/>
          <w:color w:val="000000"/>
          <w:sz w:val="20"/>
          <w:szCs w:val="20"/>
          <w:lang w:val="en-US"/>
        </w:rPr>
        <w:t>bstract</w:t>
      </w:r>
      <w:r w:rsidRPr="0028635A">
        <w:rPr>
          <w:rFonts w:ascii="Arial" w:hAnsi="Arial" w:cs="Arial"/>
          <w:b/>
          <w:color w:val="000000"/>
          <w:sz w:val="20"/>
          <w:szCs w:val="20"/>
          <w:lang w:val="en-US"/>
        </w:rPr>
        <w:t>:</w:t>
      </w:r>
      <w:r w:rsidR="00B146EC" w:rsidRPr="00B146EC">
        <w:rPr>
          <w:rFonts w:ascii="Arial" w:hAnsi="Arial" w:cs="Arial"/>
          <w:b/>
          <w:color w:val="000000"/>
          <w:sz w:val="20"/>
          <w:szCs w:val="20"/>
          <w:lang w:val="en-US"/>
        </w:rPr>
        <w:t xml:space="preserve"> </w:t>
      </w:r>
      <w:r w:rsidR="0028635A" w:rsidRPr="00C062A8">
        <w:rPr>
          <w:rFonts w:ascii="Arial" w:hAnsi="Arial" w:cs="Arial"/>
          <w:color w:val="000000"/>
          <w:sz w:val="20"/>
          <w:szCs w:val="20"/>
          <w:lang w:val="en-US"/>
        </w:rPr>
        <w:t>This paper addresses the regulatory complexity surrounding aeronautical crimes in Argentina, highlighting interpretative discrepancies and legal conflicts. It begins with a historical review of aeronautical regulations from 1925 to the present, highlighting Law 14,307 as the main reference. It then presents court cases that illustrate the different interpretations of which regulations should be applied in specific cases. It emphasizes the need for urgent legislative reform to resolve legal uncertainty and guarantee legal certainty. It proposes the involvement of experts and the consideration of international standards to develop clear, coherent, and up-to-date legislation.</w:t>
      </w:r>
    </w:p>
    <w:p w14:paraId="095A5DC5" w14:textId="77777777" w:rsidR="001C1B9B" w:rsidRPr="00EE5A8F" w:rsidRDefault="001C1B9B" w:rsidP="006F7992">
      <w:pPr>
        <w:spacing w:line="360" w:lineRule="auto"/>
        <w:jc w:val="both"/>
        <w:rPr>
          <w:rFonts w:ascii="Arial" w:hAnsi="Arial" w:cs="Arial"/>
          <w:b/>
          <w:bCs/>
          <w:color w:val="000000"/>
          <w:sz w:val="20"/>
          <w:szCs w:val="20"/>
          <w:lang w:val="en-US"/>
        </w:rPr>
      </w:pPr>
    </w:p>
    <w:p w14:paraId="7CB73B1D" w14:textId="4F2BE3FD" w:rsidR="005577D4" w:rsidRPr="006F7992" w:rsidRDefault="006C607F" w:rsidP="006F7992">
      <w:pPr>
        <w:spacing w:line="360" w:lineRule="auto"/>
        <w:jc w:val="both"/>
        <w:rPr>
          <w:rFonts w:ascii="Arial" w:hAnsi="Arial" w:cs="Arial"/>
          <w:b/>
          <w:i/>
          <w:sz w:val="20"/>
          <w:szCs w:val="20"/>
          <w:u w:val="single"/>
          <w:lang w:val="es-ES"/>
        </w:rPr>
      </w:pPr>
      <w:proofErr w:type="spellStart"/>
      <w:r>
        <w:rPr>
          <w:rFonts w:ascii="Arial" w:hAnsi="Arial" w:cs="Arial"/>
          <w:b/>
          <w:bCs/>
          <w:color w:val="000000"/>
          <w:sz w:val="20"/>
          <w:szCs w:val="20"/>
          <w:lang w:val="es-ES"/>
        </w:rPr>
        <w:t>W</w:t>
      </w:r>
      <w:r w:rsidR="001C1B9B">
        <w:rPr>
          <w:rFonts w:ascii="Arial" w:hAnsi="Arial" w:cs="Arial"/>
          <w:b/>
          <w:bCs/>
          <w:color w:val="000000"/>
          <w:sz w:val="20"/>
          <w:szCs w:val="20"/>
          <w:lang w:val="es-ES"/>
        </w:rPr>
        <w:t>ords</w:t>
      </w:r>
      <w:proofErr w:type="spellEnd"/>
      <w:r>
        <w:rPr>
          <w:rFonts w:ascii="Arial" w:hAnsi="Arial" w:cs="Arial"/>
          <w:b/>
          <w:bCs/>
          <w:color w:val="000000"/>
          <w:sz w:val="20"/>
          <w:szCs w:val="20"/>
          <w:lang w:val="es-ES"/>
        </w:rPr>
        <w:t xml:space="preserve"> </w:t>
      </w:r>
      <w:proofErr w:type="spellStart"/>
      <w:r>
        <w:rPr>
          <w:rFonts w:ascii="Arial" w:hAnsi="Arial" w:cs="Arial"/>
          <w:b/>
          <w:bCs/>
          <w:color w:val="000000"/>
          <w:sz w:val="20"/>
          <w:szCs w:val="20"/>
          <w:lang w:val="es-ES"/>
        </w:rPr>
        <w:t>K</w:t>
      </w:r>
      <w:r w:rsidR="001C1B9B">
        <w:rPr>
          <w:rFonts w:ascii="Arial" w:hAnsi="Arial" w:cs="Arial"/>
          <w:b/>
          <w:bCs/>
          <w:color w:val="000000"/>
          <w:sz w:val="20"/>
          <w:szCs w:val="20"/>
          <w:lang w:val="es-ES"/>
        </w:rPr>
        <w:t>eys</w:t>
      </w:r>
      <w:proofErr w:type="spellEnd"/>
      <w:r w:rsidR="00B146EC" w:rsidRPr="006F7992">
        <w:rPr>
          <w:rFonts w:ascii="Arial" w:hAnsi="Arial" w:cs="Arial"/>
          <w:b/>
          <w:bCs/>
          <w:color w:val="000000"/>
          <w:sz w:val="20"/>
          <w:szCs w:val="20"/>
          <w:lang w:val="es-ES"/>
        </w:rPr>
        <w:t xml:space="preserve">: </w:t>
      </w:r>
      <w:proofErr w:type="spellStart"/>
      <w:r w:rsidR="004B5C06" w:rsidRPr="004B5C06">
        <w:rPr>
          <w:rFonts w:ascii="Arial" w:hAnsi="Arial" w:cs="Arial"/>
          <w:color w:val="000000"/>
          <w:sz w:val="20"/>
          <w:szCs w:val="20"/>
          <w:lang w:val="es-ES"/>
        </w:rPr>
        <w:t>aeronautical</w:t>
      </w:r>
      <w:proofErr w:type="spellEnd"/>
      <w:r w:rsidR="004B5C06" w:rsidRPr="004B5C06">
        <w:rPr>
          <w:rFonts w:ascii="Arial" w:hAnsi="Arial" w:cs="Arial"/>
          <w:color w:val="000000"/>
          <w:sz w:val="20"/>
          <w:szCs w:val="20"/>
          <w:lang w:val="es-ES"/>
        </w:rPr>
        <w:t xml:space="preserve"> </w:t>
      </w:r>
      <w:proofErr w:type="spellStart"/>
      <w:r w:rsidR="004B5C06" w:rsidRPr="004B5C06">
        <w:rPr>
          <w:rFonts w:ascii="Arial" w:hAnsi="Arial" w:cs="Arial"/>
          <w:color w:val="000000"/>
          <w:sz w:val="20"/>
          <w:szCs w:val="20"/>
          <w:lang w:val="es-ES"/>
        </w:rPr>
        <w:t>code</w:t>
      </w:r>
      <w:proofErr w:type="spellEnd"/>
      <w:r w:rsidR="004B5C06" w:rsidRPr="004B5C06">
        <w:rPr>
          <w:rFonts w:ascii="Arial" w:hAnsi="Arial" w:cs="Arial"/>
          <w:color w:val="000000"/>
          <w:sz w:val="20"/>
          <w:szCs w:val="20"/>
          <w:lang w:val="es-ES"/>
        </w:rPr>
        <w:t xml:space="preserve"> </w:t>
      </w:r>
      <w:r w:rsidR="004B5C06">
        <w:rPr>
          <w:rFonts w:ascii="Arial" w:hAnsi="Arial" w:cs="Arial"/>
          <w:color w:val="000000"/>
          <w:sz w:val="20"/>
          <w:szCs w:val="20"/>
          <w:lang w:val="es-ES"/>
        </w:rPr>
        <w:t>–</w:t>
      </w:r>
      <w:r w:rsidR="004B5C06" w:rsidRPr="004B5C06">
        <w:rPr>
          <w:rFonts w:ascii="Arial" w:hAnsi="Arial" w:cs="Arial"/>
          <w:color w:val="000000"/>
          <w:sz w:val="20"/>
          <w:szCs w:val="20"/>
          <w:lang w:val="es-ES"/>
        </w:rPr>
        <w:t xml:space="preserve"> </w:t>
      </w:r>
      <w:proofErr w:type="spellStart"/>
      <w:r w:rsidR="004B5C06" w:rsidRPr="004B5C06">
        <w:rPr>
          <w:rFonts w:ascii="Arial" w:hAnsi="Arial" w:cs="Arial"/>
          <w:color w:val="000000"/>
          <w:sz w:val="20"/>
          <w:szCs w:val="20"/>
          <w:lang w:val="es-ES"/>
        </w:rPr>
        <w:t>aeronautical</w:t>
      </w:r>
      <w:proofErr w:type="spellEnd"/>
      <w:r w:rsidR="004B5C06" w:rsidRPr="004B5C06">
        <w:rPr>
          <w:rFonts w:ascii="Arial" w:hAnsi="Arial" w:cs="Arial"/>
          <w:color w:val="000000"/>
          <w:sz w:val="20"/>
          <w:szCs w:val="20"/>
          <w:lang w:val="es-ES"/>
        </w:rPr>
        <w:t xml:space="preserve"> </w:t>
      </w:r>
      <w:proofErr w:type="spellStart"/>
      <w:r w:rsidR="004B5C06" w:rsidRPr="004B5C06">
        <w:rPr>
          <w:rFonts w:ascii="Arial" w:hAnsi="Arial" w:cs="Arial"/>
          <w:color w:val="000000"/>
          <w:sz w:val="20"/>
          <w:szCs w:val="20"/>
          <w:lang w:val="es-ES"/>
        </w:rPr>
        <w:t>crimes</w:t>
      </w:r>
      <w:proofErr w:type="spellEnd"/>
    </w:p>
    <w:p w14:paraId="5313FDBD" w14:textId="77777777" w:rsidR="004B2597" w:rsidRDefault="004B2597" w:rsidP="006F7992">
      <w:pPr>
        <w:tabs>
          <w:tab w:val="left" w:pos="3360"/>
        </w:tabs>
        <w:spacing w:line="360" w:lineRule="auto"/>
        <w:jc w:val="both"/>
        <w:rPr>
          <w:rFonts w:ascii="Arial" w:hAnsi="Arial" w:cs="Arial"/>
          <w:b/>
          <w:i/>
          <w:sz w:val="20"/>
          <w:szCs w:val="20"/>
          <w:lang w:val="es-ES"/>
        </w:rPr>
      </w:pPr>
    </w:p>
    <w:p w14:paraId="562B94C1" w14:textId="77777777" w:rsidR="004B2597" w:rsidRDefault="004B2597" w:rsidP="006F7992">
      <w:pPr>
        <w:tabs>
          <w:tab w:val="left" w:pos="3360"/>
        </w:tabs>
        <w:spacing w:line="360" w:lineRule="auto"/>
        <w:jc w:val="both"/>
        <w:rPr>
          <w:rFonts w:ascii="Arial" w:hAnsi="Arial" w:cs="Arial"/>
          <w:b/>
          <w:i/>
          <w:sz w:val="20"/>
          <w:szCs w:val="20"/>
          <w:lang w:val="es-ES"/>
        </w:rPr>
      </w:pPr>
    </w:p>
    <w:p w14:paraId="44FA50BE" w14:textId="40FA1CB1" w:rsidR="00933DBC" w:rsidRPr="006F7992" w:rsidRDefault="004557C2" w:rsidP="006F7992">
      <w:pPr>
        <w:tabs>
          <w:tab w:val="left" w:pos="3360"/>
        </w:tabs>
        <w:spacing w:line="360" w:lineRule="auto"/>
        <w:jc w:val="both"/>
        <w:rPr>
          <w:rFonts w:ascii="Arial" w:hAnsi="Arial" w:cs="Arial"/>
          <w:b/>
          <w:i/>
          <w:sz w:val="20"/>
          <w:szCs w:val="20"/>
          <w:lang w:val="es-ES"/>
        </w:rPr>
      </w:pPr>
      <w:r w:rsidRPr="006F7992">
        <w:rPr>
          <w:rFonts w:ascii="Arial" w:hAnsi="Arial" w:cs="Arial"/>
          <w:b/>
          <w:i/>
          <w:sz w:val="20"/>
          <w:szCs w:val="20"/>
          <w:lang w:val="es-ES"/>
        </w:rPr>
        <w:tab/>
      </w:r>
    </w:p>
    <w:p w14:paraId="2B81059D" w14:textId="1758D137" w:rsidR="004C26C6" w:rsidRPr="001C1B9B" w:rsidRDefault="004C26C6" w:rsidP="006F7992">
      <w:pPr>
        <w:pStyle w:val="Prrafodelista"/>
        <w:numPr>
          <w:ilvl w:val="0"/>
          <w:numId w:val="9"/>
        </w:numPr>
        <w:spacing w:line="360" w:lineRule="auto"/>
        <w:jc w:val="both"/>
        <w:rPr>
          <w:rFonts w:ascii="Arial" w:hAnsi="Arial" w:cs="Arial"/>
          <w:b/>
          <w:lang w:val="es-ES"/>
        </w:rPr>
      </w:pPr>
      <w:r w:rsidRPr="001C1B9B">
        <w:rPr>
          <w:rFonts w:ascii="Arial" w:hAnsi="Arial" w:cs="Arial"/>
          <w:b/>
          <w:lang w:val="es-ES"/>
        </w:rPr>
        <w:lastRenderedPageBreak/>
        <w:t xml:space="preserve">Introducción </w:t>
      </w:r>
    </w:p>
    <w:p w14:paraId="6E061A0D" w14:textId="02F44AA6" w:rsidR="004C26C6" w:rsidRPr="001C1B9B" w:rsidRDefault="000A1BDA" w:rsidP="001C1B9B">
      <w:pPr>
        <w:spacing w:line="360" w:lineRule="auto"/>
        <w:ind w:firstLine="708"/>
        <w:jc w:val="both"/>
        <w:rPr>
          <w:rFonts w:ascii="Arial" w:hAnsi="Arial" w:cs="Arial"/>
          <w:sz w:val="20"/>
          <w:szCs w:val="20"/>
          <w:lang w:val="es-ES"/>
        </w:rPr>
      </w:pPr>
      <w:r w:rsidRPr="001C1B9B">
        <w:rPr>
          <w:rFonts w:ascii="Arial" w:hAnsi="Arial" w:cs="Arial"/>
          <w:sz w:val="20"/>
          <w:szCs w:val="20"/>
          <w:lang w:val="es-ES"/>
        </w:rPr>
        <w:t>Recientemente, he</w:t>
      </w:r>
      <w:r w:rsidR="004C26C6" w:rsidRPr="001C1B9B">
        <w:rPr>
          <w:rFonts w:ascii="Arial" w:hAnsi="Arial" w:cs="Arial"/>
          <w:sz w:val="20"/>
          <w:szCs w:val="20"/>
          <w:lang w:val="es-ES"/>
        </w:rPr>
        <w:t xml:space="preserve"> tenido la oportunidad de tomar conocimiento de una situación normativa que llamo poderosamente mi atención</w:t>
      </w:r>
      <w:r w:rsidR="004B2597" w:rsidRPr="001C1B9B">
        <w:rPr>
          <w:rFonts w:ascii="Arial" w:hAnsi="Arial" w:cs="Arial"/>
          <w:sz w:val="20"/>
          <w:szCs w:val="20"/>
          <w:lang w:val="es-ES"/>
        </w:rPr>
        <w:t>, la cual se vincula con</w:t>
      </w:r>
      <w:r w:rsidR="004C26C6" w:rsidRPr="001C1B9B">
        <w:rPr>
          <w:rFonts w:ascii="Arial" w:hAnsi="Arial" w:cs="Arial"/>
          <w:sz w:val="20"/>
          <w:szCs w:val="20"/>
          <w:lang w:val="es-ES"/>
        </w:rPr>
        <w:t xml:space="preserve"> los conflictos que se suscitan al querer establecer con precisión cuales son los delitos aeronáuticos que a la fecha se encuentran vigentes en aras de las reglas qu</w:t>
      </w:r>
      <w:r w:rsidR="00A556A1" w:rsidRPr="001C1B9B">
        <w:rPr>
          <w:rFonts w:ascii="Arial" w:hAnsi="Arial" w:cs="Arial"/>
          <w:sz w:val="20"/>
          <w:szCs w:val="20"/>
          <w:lang w:val="es-ES"/>
        </w:rPr>
        <w:t>e reglamentan esa actividad</w:t>
      </w:r>
      <w:r w:rsidR="004C26C6" w:rsidRPr="001C1B9B">
        <w:rPr>
          <w:rFonts w:ascii="Arial" w:hAnsi="Arial" w:cs="Arial"/>
          <w:sz w:val="20"/>
          <w:szCs w:val="20"/>
          <w:lang w:val="es-ES"/>
        </w:rPr>
        <w:t>.</w:t>
      </w:r>
    </w:p>
    <w:p w14:paraId="5026B403" w14:textId="5B8B484C" w:rsidR="004C26C6" w:rsidRPr="001C1B9B" w:rsidRDefault="004B2597" w:rsidP="001C1B9B">
      <w:pPr>
        <w:spacing w:line="360" w:lineRule="auto"/>
        <w:ind w:firstLine="708"/>
        <w:jc w:val="both"/>
        <w:rPr>
          <w:rFonts w:ascii="Arial" w:hAnsi="Arial" w:cs="Arial"/>
          <w:sz w:val="20"/>
          <w:szCs w:val="20"/>
          <w:lang w:val="es-ES"/>
        </w:rPr>
      </w:pPr>
      <w:r w:rsidRPr="001C1B9B">
        <w:rPr>
          <w:rFonts w:ascii="Arial" w:hAnsi="Arial" w:cs="Arial"/>
          <w:sz w:val="20"/>
          <w:szCs w:val="20"/>
          <w:lang w:val="es-ES"/>
        </w:rPr>
        <w:t>P</w:t>
      </w:r>
      <w:r w:rsidR="004C26C6" w:rsidRPr="001C1B9B">
        <w:rPr>
          <w:rFonts w:ascii="Arial" w:hAnsi="Arial" w:cs="Arial"/>
          <w:sz w:val="20"/>
          <w:szCs w:val="20"/>
          <w:lang w:val="es-ES"/>
        </w:rPr>
        <w:t>or lo general, en el ámbito del derecho</w:t>
      </w:r>
      <w:r w:rsidRPr="001C1B9B">
        <w:rPr>
          <w:rFonts w:ascii="Arial" w:hAnsi="Arial" w:cs="Arial"/>
          <w:sz w:val="20"/>
          <w:szCs w:val="20"/>
          <w:lang w:val="es-ES"/>
        </w:rPr>
        <w:t>,</w:t>
      </w:r>
      <w:r w:rsidR="004C26C6" w:rsidRPr="001C1B9B">
        <w:rPr>
          <w:rFonts w:ascii="Arial" w:hAnsi="Arial" w:cs="Arial"/>
          <w:sz w:val="20"/>
          <w:szCs w:val="20"/>
          <w:lang w:val="es-ES"/>
        </w:rPr>
        <w:t xml:space="preserve"> las discusiones versan sobre cuestiones interpretativas relacionadas con la aplicabilidad de una norma a un caso concreto, pero difícilmente se encuentre otro tópico en el que existan opiniones tan disimiles sobre cual </w:t>
      </w:r>
      <w:r w:rsidR="005E334C" w:rsidRPr="001C1B9B">
        <w:rPr>
          <w:rFonts w:ascii="Arial" w:hAnsi="Arial" w:cs="Arial"/>
          <w:sz w:val="20"/>
          <w:szCs w:val="20"/>
          <w:lang w:val="es-ES"/>
        </w:rPr>
        <w:t>regla</w:t>
      </w:r>
      <w:r w:rsidR="004C26C6" w:rsidRPr="001C1B9B">
        <w:rPr>
          <w:rFonts w:ascii="Arial" w:hAnsi="Arial" w:cs="Arial"/>
          <w:sz w:val="20"/>
          <w:szCs w:val="20"/>
          <w:lang w:val="es-ES"/>
        </w:rPr>
        <w:t xml:space="preserve"> </w:t>
      </w:r>
      <w:r w:rsidR="00A556A1" w:rsidRPr="001C1B9B">
        <w:rPr>
          <w:rFonts w:ascii="Arial" w:hAnsi="Arial" w:cs="Arial"/>
          <w:sz w:val="20"/>
          <w:szCs w:val="20"/>
          <w:lang w:val="es-ES"/>
        </w:rPr>
        <w:t xml:space="preserve">se encuentra vigente y </w:t>
      </w:r>
      <w:r w:rsidR="004C26C6" w:rsidRPr="001C1B9B">
        <w:rPr>
          <w:rFonts w:ascii="Arial" w:hAnsi="Arial" w:cs="Arial"/>
          <w:sz w:val="20"/>
          <w:szCs w:val="20"/>
          <w:lang w:val="es-ES"/>
        </w:rPr>
        <w:t>debe aplicarse ante la existencia de una conducta</w:t>
      </w:r>
      <w:r w:rsidR="00A556A1" w:rsidRPr="001C1B9B">
        <w:rPr>
          <w:rFonts w:ascii="Arial" w:hAnsi="Arial" w:cs="Arial"/>
          <w:sz w:val="20"/>
          <w:szCs w:val="20"/>
          <w:lang w:val="es-ES"/>
        </w:rPr>
        <w:t xml:space="preserve"> que se considere delictiva</w:t>
      </w:r>
      <w:r w:rsidR="004C26C6" w:rsidRPr="001C1B9B">
        <w:rPr>
          <w:rFonts w:ascii="Arial" w:hAnsi="Arial" w:cs="Arial"/>
          <w:sz w:val="20"/>
          <w:szCs w:val="20"/>
          <w:lang w:val="es-ES"/>
        </w:rPr>
        <w:t>.</w:t>
      </w:r>
      <w:r w:rsidR="008444B0" w:rsidRPr="001C1B9B">
        <w:rPr>
          <w:rFonts w:ascii="Arial" w:hAnsi="Arial" w:cs="Arial"/>
          <w:sz w:val="20"/>
          <w:szCs w:val="20"/>
          <w:lang w:val="es-ES"/>
        </w:rPr>
        <w:t xml:space="preserve"> L</w:t>
      </w:r>
      <w:r w:rsidR="004C26C6" w:rsidRPr="001C1B9B">
        <w:rPr>
          <w:rFonts w:ascii="Arial" w:hAnsi="Arial" w:cs="Arial"/>
          <w:sz w:val="20"/>
          <w:szCs w:val="20"/>
          <w:lang w:val="es-ES"/>
        </w:rPr>
        <w:t>os diferentes criterios que en la actualidad se precian, genera</w:t>
      </w:r>
      <w:r w:rsidR="008444B0" w:rsidRPr="001C1B9B">
        <w:rPr>
          <w:rFonts w:ascii="Arial" w:hAnsi="Arial" w:cs="Arial"/>
          <w:sz w:val="20"/>
          <w:szCs w:val="20"/>
          <w:lang w:val="es-ES"/>
        </w:rPr>
        <w:t>n</w:t>
      </w:r>
      <w:r w:rsidR="004C26C6" w:rsidRPr="001C1B9B">
        <w:rPr>
          <w:rFonts w:ascii="Arial" w:hAnsi="Arial" w:cs="Arial"/>
          <w:sz w:val="20"/>
          <w:szCs w:val="20"/>
          <w:lang w:val="es-ES"/>
        </w:rPr>
        <w:t xml:space="preserve"> la irrisoria </w:t>
      </w:r>
      <w:r w:rsidR="008444B0" w:rsidRPr="001C1B9B">
        <w:rPr>
          <w:rFonts w:ascii="Arial" w:hAnsi="Arial" w:cs="Arial"/>
          <w:sz w:val="20"/>
          <w:szCs w:val="20"/>
          <w:lang w:val="es-ES"/>
        </w:rPr>
        <w:t>situación que lo que para alguno</w:t>
      </w:r>
      <w:r w:rsidR="004C26C6" w:rsidRPr="001C1B9B">
        <w:rPr>
          <w:rFonts w:ascii="Arial" w:hAnsi="Arial" w:cs="Arial"/>
          <w:sz w:val="20"/>
          <w:szCs w:val="20"/>
          <w:lang w:val="es-ES"/>
        </w:rPr>
        <w:t xml:space="preserve">s resulta objeto de reproche penal, para otros no encuadra en </w:t>
      </w:r>
      <w:r w:rsidR="00BB3D05" w:rsidRPr="001C1B9B">
        <w:rPr>
          <w:rFonts w:ascii="Arial" w:hAnsi="Arial" w:cs="Arial"/>
          <w:sz w:val="20"/>
          <w:szCs w:val="20"/>
          <w:lang w:val="es-ES"/>
        </w:rPr>
        <w:t xml:space="preserve">una </w:t>
      </w:r>
      <w:r w:rsidR="004C26C6" w:rsidRPr="001C1B9B">
        <w:rPr>
          <w:rFonts w:ascii="Arial" w:hAnsi="Arial" w:cs="Arial"/>
          <w:sz w:val="20"/>
          <w:szCs w:val="20"/>
          <w:lang w:val="es-ES"/>
        </w:rPr>
        <w:t xml:space="preserve">figura que amerite la persecución estatal, por lo menos bajo la óptica del derecho penal sancionatorio. </w:t>
      </w:r>
    </w:p>
    <w:p w14:paraId="45822924" w14:textId="29F00182" w:rsidR="004C26C6" w:rsidRPr="001C1B9B" w:rsidRDefault="004C26C6" w:rsidP="001C1B9B">
      <w:pPr>
        <w:spacing w:line="360" w:lineRule="auto"/>
        <w:ind w:firstLine="708"/>
        <w:jc w:val="both"/>
        <w:rPr>
          <w:rFonts w:ascii="Arial" w:hAnsi="Arial" w:cs="Arial"/>
          <w:sz w:val="20"/>
          <w:szCs w:val="20"/>
          <w:lang w:val="es-ES"/>
        </w:rPr>
      </w:pPr>
      <w:r w:rsidRPr="001C1B9B">
        <w:rPr>
          <w:rFonts w:ascii="Arial" w:hAnsi="Arial" w:cs="Arial"/>
          <w:sz w:val="20"/>
          <w:szCs w:val="20"/>
          <w:lang w:val="es-ES"/>
        </w:rPr>
        <w:t xml:space="preserve">Planteado así el conflicto, entiendo que para un debido análisis metodológico de la cuestión articulada, corresponde hacer una primera mención de las reglas que en el transcurso del tiempo se han definido para reglamentar la actividad aeronáutica, </w:t>
      </w:r>
      <w:r w:rsidR="00BB3D05" w:rsidRPr="001C1B9B">
        <w:rPr>
          <w:rFonts w:ascii="Arial" w:hAnsi="Arial" w:cs="Arial"/>
          <w:sz w:val="20"/>
          <w:szCs w:val="20"/>
          <w:lang w:val="es-ES"/>
        </w:rPr>
        <w:t xml:space="preserve">analizando </w:t>
      </w:r>
      <w:r w:rsidRPr="001C1B9B">
        <w:rPr>
          <w:rFonts w:ascii="Arial" w:hAnsi="Arial" w:cs="Arial"/>
          <w:sz w:val="20"/>
          <w:szCs w:val="20"/>
          <w:lang w:val="es-ES"/>
        </w:rPr>
        <w:t xml:space="preserve">luego algunos casos que verifican el conflicto y la dificultad de establecer cual norma se encuentra vigente y es derecho aplicable en nuestro país.   </w:t>
      </w:r>
    </w:p>
    <w:p w14:paraId="4E0F8701" w14:textId="523E515B" w:rsidR="004C26C6" w:rsidRPr="001C1B9B" w:rsidRDefault="004C26C6" w:rsidP="001C1B9B">
      <w:pPr>
        <w:pStyle w:val="Prrafodelista"/>
        <w:numPr>
          <w:ilvl w:val="0"/>
          <w:numId w:val="9"/>
        </w:numPr>
        <w:spacing w:line="360" w:lineRule="auto"/>
        <w:jc w:val="both"/>
        <w:rPr>
          <w:rFonts w:ascii="Arial" w:hAnsi="Arial" w:cs="Arial"/>
          <w:sz w:val="20"/>
          <w:szCs w:val="20"/>
          <w:lang w:val="es-ES"/>
        </w:rPr>
      </w:pPr>
      <w:r w:rsidRPr="001C1B9B">
        <w:rPr>
          <w:rFonts w:ascii="Arial" w:hAnsi="Arial" w:cs="Arial"/>
          <w:b/>
          <w:sz w:val="20"/>
          <w:szCs w:val="20"/>
          <w:lang w:val="es-ES"/>
        </w:rPr>
        <w:t>Normativa local</w:t>
      </w:r>
    </w:p>
    <w:p w14:paraId="585814B7" w14:textId="56DEDB68" w:rsidR="007F7C7B" w:rsidRPr="001C1B9B" w:rsidRDefault="004C26C6" w:rsidP="001C1B9B">
      <w:pPr>
        <w:spacing w:line="360" w:lineRule="auto"/>
        <w:ind w:firstLine="709"/>
        <w:jc w:val="both"/>
        <w:rPr>
          <w:rFonts w:ascii="Arial" w:hAnsi="Arial" w:cs="Arial"/>
          <w:sz w:val="20"/>
          <w:szCs w:val="20"/>
          <w:lang w:val="es-ES"/>
        </w:rPr>
      </w:pPr>
      <w:r w:rsidRPr="001C1B9B">
        <w:rPr>
          <w:rFonts w:ascii="Arial" w:hAnsi="Arial" w:cs="Arial"/>
          <w:sz w:val="20"/>
          <w:szCs w:val="20"/>
          <w:lang w:val="es-ES"/>
        </w:rPr>
        <w:t xml:space="preserve">Si queremos rememorar las primeras notas que regulan la aeronavegación en nuestra patria, debemos retrotráenos </w:t>
      </w:r>
      <w:r w:rsidR="007F7C7B" w:rsidRPr="001C1B9B">
        <w:rPr>
          <w:rFonts w:ascii="Arial" w:hAnsi="Arial" w:cs="Arial"/>
          <w:sz w:val="20"/>
          <w:szCs w:val="20"/>
          <w:lang w:val="es-ES"/>
        </w:rPr>
        <w:t xml:space="preserve">al año 1925, tiempo </w:t>
      </w:r>
      <w:r w:rsidR="004B2597" w:rsidRPr="001C1B9B">
        <w:rPr>
          <w:rFonts w:ascii="Arial" w:hAnsi="Arial" w:cs="Arial"/>
          <w:sz w:val="20"/>
          <w:szCs w:val="20"/>
          <w:lang w:val="es-ES"/>
        </w:rPr>
        <w:t xml:space="preserve">en que </w:t>
      </w:r>
      <w:r w:rsidR="007F7C7B" w:rsidRPr="001C1B9B">
        <w:rPr>
          <w:rFonts w:ascii="Arial" w:hAnsi="Arial" w:cs="Arial"/>
          <w:sz w:val="20"/>
          <w:szCs w:val="20"/>
          <w:lang w:val="es-ES"/>
        </w:rPr>
        <w:t>se celebró el primer decreto que significó un avanc</w:t>
      </w:r>
      <w:r w:rsidR="008444B0" w:rsidRPr="001C1B9B">
        <w:rPr>
          <w:rFonts w:ascii="Arial" w:hAnsi="Arial" w:cs="Arial"/>
          <w:sz w:val="20"/>
          <w:szCs w:val="20"/>
          <w:lang w:val="es-ES"/>
        </w:rPr>
        <w:t>e al</w:t>
      </w:r>
      <w:r w:rsidR="007F7C7B" w:rsidRPr="001C1B9B">
        <w:rPr>
          <w:rFonts w:ascii="Arial" w:hAnsi="Arial" w:cs="Arial"/>
          <w:sz w:val="20"/>
          <w:szCs w:val="20"/>
          <w:lang w:val="es-ES"/>
        </w:rPr>
        <w:t xml:space="preserve"> considerar </w:t>
      </w:r>
      <w:r w:rsidR="008444B0" w:rsidRPr="001C1B9B">
        <w:rPr>
          <w:rFonts w:ascii="Arial" w:hAnsi="Arial" w:cs="Arial"/>
          <w:sz w:val="20"/>
          <w:szCs w:val="20"/>
          <w:lang w:val="es-ES"/>
        </w:rPr>
        <w:t xml:space="preserve">los </w:t>
      </w:r>
      <w:r w:rsidR="007F7C7B" w:rsidRPr="001C1B9B">
        <w:rPr>
          <w:rFonts w:ascii="Arial" w:hAnsi="Arial" w:cs="Arial"/>
          <w:sz w:val="20"/>
          <w:szCs w:val="20"/>
          <w:lang w:val="es-ES"/>
        </w:rPr>
        <w:t>principios relacionados a sobrevuelo, aterrizaje, nacionalidad, mat</w:t>
      </w:r>
      <w:r w:rsidR="008444B0" w:rsidRPr="001C1B9B">
        <w:rPr>
          <w:rFonts w:ascii="Arial" w:hAnsi="Arial" w:cs="Arial"/>
          <w:sz w:val="20"/>
          <w:szCs w:val="20"/>
          <w:lang w:val="es-ES"/>
        </w:rPr>
        <w:t>riculación</w:t>
      </w:r>
      <w:r w:rsidR="004B2597" w:rsidRPr="001C1B9B">
        <w:rPr>
          <w:rFonts w:ascii="Arial" w:hAnsi="Arial" w:cs="Arial"/>
          <w:sz w:val="20"/>
          <w:szCs w:val="20"/>
          <w:lang w:val="es-ES"/>
        </w:rPr>
        <w:t xml:space="preserve"> y</w:t>
      </w:r>
      <w:r w:rsidR="008444B0" w:rsidRPr="001C1B9B">
        <w:rPr>
          <w:rFonts w:ascii="Arial" w:hAnsi="Arial" w:cs="Arial"/>
          <w:sz w:val="20"/>
          <w:szCs w:val="20"/>
          <w:lang w:val="es-ES"/>
        </w:rPr>
        <w:t xml:space="preserve"> fomento de la avi</w:t>
      </w:r>
      <w:r w:rsidR="0028635A" w:rsidRPr="001C1B9B">
        <w:rPr>
          <w:rFonts w:ascii="Arial" w:hAnsi="Arial" w:cs="Arial"/>
          <w:sz w:val="20"/>
          <w:szCs w:val="20"/>
          <w:lang w:val="es-ES"/>
        </w:rPr>
        <w:t>ación</w:t>
      </w:r>
      <w:r w:rsidR="008444B0" w:rsidRPr="001C1B9B">
        <w:rPr>
          <w:rFonts w:ascii="Arial" w:hAnsi="Arial" w:cs="Arial"/>
          <w:sz w:val="20"/>
          <w:szCs w:val="20"/>
          <w:lang w:val="es-ES"/>
        </w:rPr>
        <w:t>. Es</w:t>
      </w:r>
      <w:r w:rsidR="0028635A" w:rsidRPr="001C1B9B">
        <w:rPr>
          <w:rFonts w:ascii="Arial" w:hAnsi="Arial" w:cs="Arial"/>
          <w:sz w:val="20"/>
          <w:szCs w:val="20"/>
          <w:lang w:val="es-ES"/>
        </w:rPr>
        <w:t>e</w:t>
      </w:r>
      <w:r w:rsidR="008444B0" w:rsidRPr="001C1B9B">
        <w:rPr>
          <w:rFonts w:ascii="Arial" w:hAnsi="Arial" w:cs="Arial"/>
          <w:sz w:val="20"/>
          <w:szCs w:val="20"/>
          <w:lang w:val="es-ES"/>
        </w:rPr>
        <w:t xml:space="preserve"> texto </w:t>
      </w:r>
      <w:r w:rsidR="007F7C7B" w:rsidRPr="001C1B9B">
        <w:rPr>
          <w:rFonts w:ascii="Arial" w:hAnsi="Arial" w:cs="Arial"/>
          <w:sz w:val="20"/>
          <w:szCs w:val="20"/>
          <w:lang w:val="es-ES"/>
        </w:rPr>
        <w:t>fue completad</w:t>
      </w:r>
      <w:r w:rsidR="008444B0" w:rsidRPr="001C1B9B">
        <w:rPr>
          <w:rFonts w:ascii="Arial" w:hAnsi="Arial" w:cs="Arial"/>
          <w:sz w:val="20"/>
          <w:szCs w:val="20"/>
          <w:lang w:val="es-ES"/>
        </w:rPr>
        <w:t>o</w:t>
      </w:r>
      <w:r w:rsidR="007F7C7B" w:rsidRPr="001C1B9B">
        <w:rPr>
          <w:rFonts w:ascii="Arial" w:hAnsi="Arial" w:cs="Arial"/>
          <w:sz w:val="20"/>
          <w:szCs w:val="20"/>
          <w:lang w:val="es-ES"/>
        </w:rPr>
        <w:t xml:space="preserve"> por otro que data del año 1926</w:t>
      </w:r>
      <w:r w:rsidR="008444B0" w:rsidRPr="001C1B9B">
        <w:rPr>
          <w:rFonts w:ascii="Arial" w:hAnsi="Arial" w:cs="Arial"/>
          <w:sz w:val="20"/>
          <w:szCs w:val="20"/>
          <w:lang w:val="es-ES"/>
        </w:rPr>
        <w:t>,</w:t>
      </w:r>
      <w:r w:rsidR="007F7C7B" w:rsidRPr="001C1B9B">
        <w:rPr>
          <w:rFonts w:ascii="Arial" w:hAnsi="Arial" w:cs="Arial"/>
          <w:sz w:val="20"/>
          <w:szCs w:val="20"/>
          <w:lang w:val="es-ES"/>
        </w:rPr>
        <w:t xml:space="preserve"> </w:t>
      </w:r>
      <w:r w:rsidR="008444B0" w:rsidRPr="001C1B9B">
        <w:rPr>
          <w:rFonts w:ascii="Arial" w:hAnsi="Arial" w:cs="Arial"/>
          <w:sz w:val="20"/>
          <w:szCs w:val="20"/>
          <w:lang w:val="es-ES"/>
        </w:rPr>
        <w:t xml:space="preserve">el cual </w:t>
      </w:r>
      <w:r w:rsidR="007F7C7B" w:rsidRPr="001C1B9B">
        <w:rPr>
          <w:rFonts w:ascii="Arial" w:hAnsi="Arial" w:cs="Arial"/>
          <w:sz w:val="20"/>
          <w:szCs w:val="20"/>
          <w:lang w:val="es-ES"/>
        </w:rPr>
        <w:t xml:space="preserve">poseía </w:t>
      </w:r>
      <w:r w:rsidR="008444B0" w:rsidRPr="001C1B9B">
        <w:rPr>
          <w:rFonts w:ascii="Arial" w:hAnsi="Arial" w:cs="Arial"/>
          <w:sz w:val="20"/>
          <w:szCs w:val="20"/>
          <w:lang w:val="es-ES"/>
        </w:rPr>
        <w:t xml:space="preserve">una </w:t>
      </w:r>
      <w:r w:rsidR="007F7C7B" w:rsidRPr="001C1B9B">
        <w:rPr>
          <w:rFonts w:ascii="Arial" w:hAnsi="Arial" w:cs="Arial"/>
          <w:sz w:val="20"/>
          <w:szCs w:val="20"/>
          <w:lang w:val="es-ES"/>
        </w:rPr>
        <w:t>raigambre más reglamentarista al establecer algunas clasificaciones sobre aeronaves</w:t>
      </w:r>
      <w:r w:rsidR="007F7C7B" w:rsidRPr="001C1B9B">
        <w:rPr>
          <w:rStyle w:val="Refdenotaalpie"/>
          <w:rFonts w:ascii="Arial" w:hAnsi="Arial" w:cs="Arial"/>
          <w:sz w:val="20"/>
          <w:szCs w:val="20"/>
          <w:lang w:val="es-ES"/>
        </w:rPr>
        <w:footnoteReference w:id="1"/>
      </w:r>
      <w:r w:rsidR="007F7C7B" w:rsidRPr="001C1B9B">
        <w:rPr>
          <w:rFonts w:ascii="Arial" w:hAnsi="Arial" w:cs="Arial"/>
          <w:sz w:val="20"/>
          <w:szCs w:val="20"/>
          <w:lang w:val="es-ES"/>
        </w:rPr>
        <w:t xml:space="preserve">.  </w:t>
      </w:r>
    </w:p>
    <w:p w14:paraId="6BBA12B4" w14:textId="28F271BF" w:rsidR="004C26C6" w:rsidRPr="001C1B9B" w:rsidRDefault="007F7C7B" w:rsidP="001C1B9B">
      <w:pPr>
        <w:spacing w:line="360" w:lineRule="auto"/>
        <w:ind w:firstLine="709"/>
        <w:jc w:val="both"/>
        <w:rPr>
          <w:rFonts w:ascii="Arial" w:hAnsi="Arial" w:cs="Arial"/>
          <w:sz w:val="20"/>
          <w:szCs w:val="20"/>
        </w:rPr>
      </w:pPr>
      <w:r w:rsidRPr="001C1B9B">
        <w:rPr>
          <w:rFonts w:ascii="Arial" w:hAnsi="Arial" w:cs="Arial"/>
          <w:sz w:val="20"/>
          <w:szCs w:val="20"/>
          <w:lang w:val="es-ES"/>
        </w:rPr>
        <w:t>Luego de ello, ya en e</w:t>
      </w:r>
      <w:r w:rsidR="004C26C6" w:rsidRPr="001C1B9B">
        <w:rPr>
          <w:rFonts w:ascii="Arial" w:hAnsi="Arial" w:cs="Arial"/>
          <w:sz w:val="20"/>
          <w:szCs w:val="20"/>
          <w:lang w:val="es-ES"/>
        </w:rPr>
        <w:t>l segundo mandato del General Juan Domingo Perón</w:t>
      </w:r>
      <w:r w:rsidR="005E334C" w:rsidRPr="001C1B9B">
        <w:rPr>
          <w:rFonts w:ascii="Arial" w:hAnsi="Arial" w:cs="Arial"/>
          <w:sz w:val="20"/>
          <w:szCs w:val="20"/>
          <w:lang w:val="es-ES"/>
        </w:rPr>
        <w:t xml:space="preserve"> se sancionó</w:t>
      </w:r>
      <w:r w:rsidR="004C26C6" w:rsidRPr="001C1B9B">
        <w:rPr>
          <w:rFonts w:ascii="Arial" w:hAnsi="Arial" w:cs="Arial"/>
          <w:sz w:val="20"/>
          <w:szCs w:val="20"/>
          <w:lang w:val="es-ES"/>
        </w:rPr>
        <w:t xml:space="preserve"> la ley 14.307. Esta norma, </w:t>
      </w:r>
      <w:r w:rsidR="008444B0" w:rsidRPr="001C1B9B">
        <w:rPr>
          <w:rFonts w:ascii="Arial" w:hAnsi="Arial" w:cs="Arial"/>
          <w:sz w:val="20"/>
          <w:szCs w:val="20"/>
          <w:lang w:val="es-ES"/>
        </w:rPr>
        <w:t>resultó</w:t>
      </w:r>
      <w:r w:rsidR="004C26C6" w:rsidRPr="001C1B9B">
        <w:rPr>
          <w:rFonts w:ascii="Arial" w:hAnsi="Arial" w:cs="Arial"/>
          <w:sz w:val="20"/>
          <w:szCs w:val="20"/>
          <w:lang w:val="es-ES"/>
        </w:rPr>
        <w:t xml:space="preserve"> ser el primer compendio normativo que nucleaba todos los conceptos, características y requisitos que eran necesario</w:t>
      </w:r>
      <w:r w:rsidR="005E334C" w:rsidRPr="001C1B9B">
        <w:rPr>
          <w:rFonts w:ascii="Arial" w:hAnsi="Arial" w:cs="Arial"/>
          <w:sz w:val="20"/>
          <w:szCs w:val="20"/>
          <w:lang w:val="es-ES"/>
        </w:rPr>
        <w:t>s</w:t>
      </w:r>
      <w:r w:rsidR="004C26C6" w:rsidRPr="001C1B9B">
        <w:rPr>
          <w:rFonts w:ascii="Arial" w:hAnsi="Arial" w:cs="Arial"/>
          <w:sz w:val="20"/>
          <w:szCs w:val="20"/>
          <w:lang w:val="es-ES"/>
        </w:rPr>
        <w:t xml:space="preserve"> para desplegar la actividad aeronaval, conten</w:t>
      </w:r>
      <w:r w:rsidR="008444B0" w:rsidRPr="001C1B9B">
        <w:rPr>
          <w:rFonts w:ascii="Arial" w:hAnsi="Arial" w:cs="Arial"/>
          <w:sz w:val="20"/>
          <w:szCs w:val="20"/>
          <w:lang w:val="es-ES"/>
        </w:rPr>
        <w:t xml:space="preserve">iendo </w:t>
      </w:r>
      <w:r w:rsidR="004C26C6" w:rsidRPr="001C1B9B">
        <w:rPr>
          <w:rFonts w:ascii="Arial" w:hAnsi="Arial" w:cs="Arial"/>
          <w:sz w:val="20"/>
          <w:szCs w:val="20"/>
          <w:lang w:val="es-ES"/>
        </w:rPr>
        <w:t xml:space="preserve">en el Titulo XVI Capitulo II aquellas </w:t>
      </w:r>
      <w:r w:rsidR="004C26C6" w:rsidRPr="001C1B9B">
        <w:rPr>
          <w:rFonts w:ascii="Arial" w:hAnsi="Arial" w:cs="Arial"/>
          <w:sz w:val="20"/>
          <w:szCs w:val="20"/>
        </w:rPr>
        <w:t xml:space="preserve">conductas ilícitas que debían ser consideradas delitos. </w:t>
      </w:r>
    </w:p>
    <w:p w14:paraId="63BFE954" w14:textId="4A3ECCC6"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Así, entre los artículos 194 a 198 se preveían algunos supuestos reprochables desde sede penal, tal com</w:t>
      </w:r>
      <w:r w:rsidR="00A556A1" w:rsidRPr="001C1B9B">
        <w:rPr>
          <w:rFonts w:ascii="Arial" w:hAnsi="Arial" w:cs="Arial"/>
          <w:sz w:val="20"/>
          <w:szCs w:val="20"/>
        </w:rPr>
        <w:t>o ser las sanciones que se establecían</w:t>
      </w:r>
      <w:r w:rsidRPr="001C1B9B">
        <w:rPr>
          <w:rFonts w:ascii="Arial" w:hAnsi="Arial" w:cs="Arial"/>
          <w:sz w:val="20"/>
          <w:szCs w:val="20"/>
        </w:rPr>
        <w:t xml:space="preserve"> para quienes </w:t>
      </w:r>
      <w:r w:rsidRPr="001C1B9B">
        <w:rPr>
          <w:rFonts w:ascii="Arial" w:hAnsi="Arial" w:cs="Arial"/>
          <w:i/>
          <w:sz w:val="20"/>
          <w:szCs w:val="20"/>
        </w:rPr>
        <w:t>“…clandestinamente franqueare la frontera por lugares distintos de los establecidos por la autoridad competente, o se desviare de las rutas aéreas prefijadas para entrar y salir del país…”</w:t>
      </w:r>
      <w:r w:rsidRPr="001C1B9B">
        <w:rPr>
          <w:rFonts w:ascii="Arial" w:hAnsi="Arial" w:cs="Arial"/>
          <w:sz w:val="20"/>
          <w:szCs w:val="20"/>
        </w:rPr>
        <w:t xml:space="preserve"> (cfr. art. 195), o para aquel </w:t>
      </w:r>
      <w:r w:rsidRPr="001C1B9B">
        <w:rPr>
          <w:rFonts w:ascii="Arial" w:hAnsi="Arial" w:cs="Arial"/>
          <w:i/>
          <w:sz w:val="20"/>
          <w:szCs w:val="20"/>
        </w:rPr>
        <w:t xml:space="preserve">“…que volare </w:t>
      </w:r>
      <w:r w:rsidRPr="001C1B9B">
        <w:rPr>
          <w:rFonts w:ascii="Arial" w:hAnsi="Arial" w:cs="Arial"/>
          <w:i/>
          <w:sz w:val="20"/>
          <w:szCs w:val="20"/>
        </w:rPr>
        <w:lastRenderedPageBreak/>
        <w:t>clandestinamente sobre zonas prohibidas...”</w:t>
      </w:r>
      <w:r w:rsidRPr="001C1B9B">
        <w:rPr>
          <w:rFonts w:ascii="Arial" w:hAnsi="Arial" w:cs="Arial"/>
          <w:sz w:val="20"/>
          <w:szCs w:val="20"/>
        </w:rPr>
        <w:t xml:space="preserve"> (cfr. art. 196), o </w:t>
      </w:r>
      <w:r w:rsidRPr="001C1B9B">
        <w:rPr>
          <w:rFonts w:ascii="Arial" w:hAnsi="Arial" w:cs="Arial"/>
          <w:i/>
          <w:sz w:val="20"/>
          <w:szCs w:val="20"/>
        </w:rPr>
        <w:t>“…condujere una aeronave sin poseer título habilitante…”</w:t>
      </w:r>
      <w:r w:rsidRPr="001C1B9B">
        <w:rPr>
          <w:rFonts w:ascii="Arial" w:hAnsi="Arial" w:cs="Arial"/>
          <w:sz w:val="20"/>
          <w:szCs w:val="20"/>
        </w:rPr>
        <w:t xml:space="preserve"> (cfr. art. 197), </w:t>
      </w:r>
      <w:r w:rsidR="005E334C" w:rsidRPr="001C1B9B">
        <w:rPr>
          <w:rFonts w:ascii="Arial" w:hAnsi="Arial" w:cs="Arial"/>
          <w:sz w:val="20"/>
          <w:szCs w:val="20"/>
        </w:rPr>
        <w:t>entre otros casos comprendidos</w:t>
      </w:r>
      <w:r w:rsidRPr="001C1B9B">
        <w:rPr>
          <w:rFonts w:ascii="Arial" w:hAnsi="Arial" w:cs="Arial"/>
          <w:sz w:val="20"/>
          <w:szCs w:val="20"/>
        </w:rPr>
        <w:t>.  </w:t>
      </w:r>
    </w:p>
    <w:p w14:paraId="5A754974" w14:textId="3653E0B1"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 xml:space="preserve">Luego del golpe de estado </w:t>
      </w:r>
      <w:r w:rsidR="00A556A1" w:rsidRPr="001C1B9B">
        <w:rPr>
          <w:rFonts w:ascii="Arial" w:hAnsi="Arial" w:cs="Arial"/>
          <w:sz w:val="20"/>
          <w:szCs w:val="20"/>
        </w:rPr>
        <w:t>d</w:t>
      </w:r>
      <w:r w:rsidRPr="001C1B9B">
        <w:rPr>
          <w:rFonts w:ascii="Arial" w:hAnsi="Arial" w:cs="Arial"/>
          <w:sz w:val="20"/>
          <w:szCs w:val="20"/>
        </w:rPr>
        <w:t>el año 1966, el presidente de facto Juan Carlos Ongania dictó el 17 de mayo de 1967 el decreto ley 17.285, que se constituiría como el nuevo Código Aeronáutico. Aquel texto, contenía en el título XIII, capitulo II</w:t>
      </w:r>
      <w:r w:rsidR="00A556A1" w:rsidRPr="001C1B9B">
        <w:rPr>
          <w:rFonts w:ascii="Arial" w:hAnsi="Arial" w:cs="Arial"/>
          <w:sz w:val="20"/>
          <w:szCs w:val="20"/>
        </w:rPr>
        <w:t>,</w:t>
      </w:r>
      <w:r w:rsidRPr="001C1B9B">
        <w:rPr>
          <w:rFonts w:ascii="Arial" w:hAnsi="Arial" w:cs="Arial"/>
          <w:sz w:val="20"/>
          <w:szCs w:val="20"/>
        </w:rPr>
        <w:t xml:space="preserve"> una enunciación de las conductas reprimidas y sancionadas como delito. Así, entre los artículos 217 y 226 se prohibían algunas acciones tales como el ejecutar algún acto que ponga en peligro la seguridad de la aeronave (art. 218), conducir una aeronave sin certificado habilitante (art. 219 inc. 1), desempeñar una función aeronáutica habiendo sido inhabilitado para el ejercicio (art. 220 inc. 1), </w:t>
      </w:r>
      <w:r w:rsidR="00A556A1" w:rsidRPr="001C1B9B">
        <w:rPr>
          <w:rFonts w:ascii="Arial" w:hAnsi="Arial" w:cs="Arial"/>
          <w:sz w:val="20"/>
          <w:szCs w:val="20"/>
        </w:rPr>
        <w:t xml:space="preserve">o </w:t>
      </w:r>
      <w:r w:rsidR="005E334C" w:rsidRPr="001C1B9B">
        <w:rPr>
          <w:rFonts w:ascii="Arial" w:hAnsi="Arial" w:cs="Arial"/>
          <w:sz w:val="20"/>
          <w:szCs w:val="20"/>
        </w:rPr>
        <w:t xml:space="preserve">conducir </w:t>
      </w:r>
      <w:r w:rsidRPr="001C1B9B">
        <w:rPr>
          <w:rFonts w:ascii="Arial" w:hAnsi="Arial" w:cs="Arial"/>
          <w:sz w:val="20"/>
          <w:szCs w:val="20"/>
        </w:rPr>
        <w:t>una aeronave sobre zonas p</w:t>
      </w:r>
      <w:r w:rsidR="008444B0" w:rsidRPr="001C1B9B">
        <w:rPr>
          <w:rFonts w:ascii="Arial" w:hAnsi="Arial" w:cs="Arial"/>
          <w:sz w:val="20"/>
          <w:szCs w:val="20"/>
        </w:rPr>
        <w:t>rohibidas (art. 222), entre otra</w:t>
      </w:r>
      <w:r w:rsidRPr="001C1B9B">
        <w:rPr>
          <w:rFonts w:ascii="Arial" w:hAnsi="Arial" w:cs="Arial"/>
          <w:sz w:val="20"/>
          <w:szCs w:val="20"/>
        </w:rPr>
        <w:t>s</w:t>
      </w:r>
      <w:r w:rsidR="005E334C" w:rsidRPr="001C1B9B">
        <w:rPr>
          <w:rFonts w:ascii="Arial" w:hAnsi="Arial" w:cs="Arial"/>
          <w:sz w:val="20"/>
          <w:szCs w:val="20"/>
        </w:rPr>
        <w:t>.</w:t>
      </w:r>
    </w:p>
    <w:p w14:paraId="6DB52C66" w14:textId="33A4B564"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 xml:space="preserve"> Asimismo, la norma referida</w:t>
      </w:r>
      <w:r w:rsidR="008444B0" w:rsidRPr="001C1B9B">
        <w:rPr>
          <w:rFonts w:ascii="Arial" w:hAnsi="Arial" w:cs="Arial"/>
          <w:sz w:val="20"/>
          <w:szCs w:val="20"/>
        </w:rPr>
        <w:t>,</w:t>
      </w:r>
      <w:r w:rsidRPr="001C1B9B">
        <w:rPr>
          <w:rFonts w:ascii="Arial" w:hAnsi="Arial" w:cs="Arial"/>
          <w:sz w:val="20"/>
          <w:szCs w:val="20"/>
        </w:rPr>
        <w:t xml:space="preserve"> en su artículo 235 derogaba la ley 14.307</w:t>
      </w:r>
      <w:r w:rsidR="008444B0" w:rsidRPr="001C1B9B">
        <w:rPr>
          <w:rFonts w:ascii="Arial" w:hAnsi="Arial" w:cs="Arial"/>
          <w:sz w:val="20"/>
          <w:szCs w:val="20"/>
        </w:rPr>
        <w:t xml:space="preserve"> y</w:t>
      </w:r>
      <w:r w:rsidRPr="001C1B9B">
        <w:rPr>
          <w:rFonts w:ascii="Arial" w:hAnsi="Arial" w:cs="Arial"/>
          <w:sz w:val="20"/>
          <w:szCs w:val="20"/>
        </w:rPr>
        <w:t xml:space="preserve"> toda otra que se le oponga. </w:t>
      </w:r>
    </w:p>
    <w:p w14:paraId="7526B622" w14:textId="5A1CB5E5" w:rsidR="004C26C6" w:rsidRPr="001C1B9B" w:rsidRDefault="005E334C" w:rsidP="001C1B9B">
      <w:pPr>
        <w:spacing w:line="360" w:lineRule="auto"/>
        <w:ind w:firstLine="709"/>
        <w:jc w:val="both"/>
        <w:rPr>
          <w:rFonts w:ascii="Arial" w:hAnsi="Arial" w:cs="Arial"/>
          <w:sz w:val="20"/>
          <w:szCs w:val="20"/>
        </w:rPr>
      </w:pPr>
      <w:r w:rsidRPr="001C1B9B">
        <w:rPr>
          <w:rFonts w:ascii="Arial" w:hAnsi="Arial" w:cs="Arial"/>
          <w:sz w:val="20"/>
          <w:szCs w:val="20"/>
        </w:rPr>
        <w:t xml:space="preserve">Meses después, </w:t>
      </w:r>
      <w:r w:rsidR="004C26C6" w:rsidRPr="001C1B9B">
        <w:rPr>
          <w:rFonts w:ascii="Arial" w:hAnsi="Arial" w:cs="Arial"/>
          <w:sz w:val="20"/>
          <w:szCs w:val="20"/>
        </w:rPr>
        <w:t>aquel gobierno dictatorial reglamenta el Decreto Ley 17.567</w:t>
      </w:r>
      <w:r w:rsidRPr="001C1B9B">
        <w:rPr>
          <w:rFonts w:ascii="Arial" w:hAnsi="Arial" w:cs="Arial"/>
          <w:sz w:val="20"/>
          <w:szCs w:val="20"/>
        </w:rPr>
        <w:t xml:space="preserve"> (año 1968)</w:t>
      </w:r>
      <w:r w:rsidR="004C26C6" w:rsidRPr="001C1B9B">
        <w:rPr>
          <w:rFonts w:ascii="Arial" w:hAnsi="Arial" w:cs="Arial"/>
          <w:sz w:val="20"/>
          <w:szCs w:val="20"/>
        </w:rPr>
        <w:t>, que más allá de modificar el Código Penal Argentino en alguno de sus aspectos e incorporar tipos penales que son de interés para la materia (art. 190, 194 y 198 del C.P.), deroga del Código Aeronáutico los artículos 217, 218, 219 inc. 4 y 5, 220 inc. 1 y párrafo final, 221, 222, 225 y 226.</w:t>
      </w:r>
    </w:p>
    <w:p w14:paraId="080E5DE5" w14:textId="4D1CC1BF" w:rsidR="004C26C6" w:rsidRPr="001C1B9B" w:rsidRDefault="004C26C6" w:rsidP="001C1B9B">
      <w:pPr>
        <w:spacing w:line="360" w:lineRule="auto"/>
        <w:ind w:firstLine="709"/>
        <w:jc w:val="both"/>
        <w:rPr>
          <w:rFonts w:ascii="Arial" w:hAnsi="Arial" w:cs="Arial"/>
          <w:i/>
          <w:sz w:val="20"/>
          <w:szCs w:val="20"/>
        </w:rPr>
      </w:pPr>
      <w:r w:rsidRPr="001C1B9B">
        <w:rPr>
          <w:rFonts w:ascii="Arial" w:hAnsi="Arial" w:cs="Arial"/>
          <w:sz w:val="20"/>
          <w:szCs w:val="20"/>
        </w:rPr>
        <w:t xml:space="preserve">Ahora bien, a los pocos días de asumido el gobierno democrático por parte de Héctor José </w:t>
      </w:r>
      <w:r w:rsidR="00C77333" w:rsidRPr="001C1B9B">
        <w:rPr>
          <w:rFonts w:ascii="Arial" w:hAnsi="Arial" w:cs="Arial"/>
          <w:sz w:val="20"/>
          <w:szCs w:val="20"/>
        </w:rPr>
        <w:t>Cámpora</w:t>
      </w:r>
      <w:r w:rsidRPr="001C1B9B">
        <w:rPr>
          <w:rFonts w:ascii="Arial" w:hAnsi="Arial" w:cs="Arial"/>
          <w:sz w:val="20"/>
          <w:szCs w:val="20"/>
        </w:rPr>
        <w:t>, el Honorable Congreso de la Nación Argentina sanciona y promulga el 27 de mayo de 1973 la ley “ómnibus” Nº 20.509, con la finalidad de reorganizar una multiplicidad de normas que habían sido dictadas por el gobierno de facto</w:t>
      </w:r>
      <w:r w:rsidR="008444B0" w:rsidRPr="001C1B9B">
        <w:rPr>
          <w:rFonts w:ascii="Arial" w:hAnsi="Arial" w:cs="Arial"/>
          <w:sz w:val="20"/>
          <w:szCs w:val="20"/>
        </w:rPr>
        <w:t xml:space="preserve">, adecuando </w:t>
      </w:r>
      <w:r w:rsidRPr="001C1B9B">
        <w:rPr>
          <w:rFonts w:ascii="Arial" w:hAnsi="Arial" w:cs="Arial"/>
          <w:sz w:val="20"/>
          <w:szCs w:val="20"/>
        </w:rPr>
        <w:t xml:space="preserve">su contenido a un debido estado de derecho. En su título, la ley establece que </w:t>
      </w:r>
      <w:r w:rsidRPr="001C1B9B">
        <w:rPr>
          <w:rFonts w:ascii="Arial" w:hAnsi="Arial" w:cs="Arial"/>
          <w:i/>
          <w:sz w:val="20"/>
          <w:szCs w:val="20"/>
        </w:rPr>
        <w:t>“</w:t>
      </w:r>
      <w:r w:rsidRPr="001C1B9B">
        <w:rPr>
          <w:rFonts w:ascii="Arial" w:hAnsi="Arial" w:cs="Arial"/>
          <w:bCs/>
          <w:i/>
          <w:sz w:val="20"/>
          <w:szCs w:val="20"/>
        </w:rPr>
        <w:t xml:space="preserve">Perderán toda eficacia las disposiciones que crean o modifican delitos o penas de delitos ya existentes y que no hayan emanado del Congreso Nacional. </w:t>
      </w:r>
      <w:r w:rsidR="00C904F7" w:rsidRPr="001C1B9B">
        <w:rPr>
          <w:rFonts w:ascii="Arial" w:hAnsi="Arial" w:cs="Arial"/>
          <w:bCs/>
          <w:i/>
          <w:sz w:val="20"/>
          <w:szCs w:val="20"/>
        </w:rPr>
        <w:t>Conviértanse</w:t>
      </w:r>
      <w:r w:rsidRPr="001C1B9B">
        <w:rPr>
          <w:rFonts w:ascii="Arial" w:hAnsi="Arial" w:cs="Arial"/>
          <w:bCs/>
          <w:i/>
          <w:sz w:val="20"/>
          <w:szCs w:val="20"/>
        </w:rPr>
        <w:t xml:space="preserve"> en ley diversas disposiciones del Poder Ejecutivo, dictados entre el 28/6/66 y el 24/3/73.”</w:t>
      </w:r>
    </w:p>
    <w:p w14:paraId="4786DAC7" w14:textId="684B5A7C"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 xml:space="preserve">Así las cosas, mas allá de esa pretérita aclaración formulada por la norma en su título, en el artículo 1 se especifica con claridad meridiana el tiempo en que la ley entra en vigencia, así como también las leyes que pierden eficacia y aquellas que recuperan su valía. De tal forma, </w:t>
      </w:r>
      <w:r w:rsidR="00A556A1" w:rsidRPr="001C1B9B">
        <w:rPr>
          <w:rFonts w:ascii="Arial" w:hAnsi="Arial" w:cs="Arial"/>
          <w:sz w:val="20"/>
          <w:szCs w:val="20"/>
        </w:rPr>
        <w:t>el</w:t>
      </w:r>
      <w:r w:rsidRPr="001C1B9B">
        <w:rPr>
          <w:rFonts w:ascii="Arial" w:hAnsi="Arial" w:cs="Arial"/>
          <w:sz w:val="20"/>
          <w:szCs w:val="20"/>
        </w:rPr>
        <w:t xml:space="preserve"> texto detalla que </w:t>
      </w:r>
      <w:r w:rsidRPr="001C1B9B">
        <w:rPr>
          <w:rFonts w:ascii="Arial" w:hAnsi="Arial" w:cs="Arial"/>
          <w:i/>
          <w:sz w:val="20"/>
          <w:szCs w:val="20"/>
        </w:rPr>
        <w:t>“A partir de la entrada en vigencia de esta ley perderán toda eficacia las disposiciones por las que se hayan creado o modificado delitos o penas de delitos ya existentes y que no hayan emanado del Congreso Nacional, cualquiera sea el nombre que se le haya dado al acto legisferante por el que se las dictó, salvo lo que dispone el artículo 4º de esta ley. Aclárase que recuperan su vigencia las normas en vigor al momento de dictarse las que pierden ahora eficacia.”.</w:t>
      </w:r>
    </w:p>
    <w:p w14:paraId="3D4355B9" w14:textId="264F895F"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 xml:space="preserve">Por su parte, el artículo 4 establecía cuáles eran las disposiciones dictadas por el gobierno de facto que específicamente se conviertan en ley de la nación, mencionándose allí a los artículos </w:t>
      </w:r>
      <w:r w:rsidRPr="001C1B9B">
        <w:rPr>
          <w:rFonts w:ascii="Arial" w:hAnsi="Arial" w:cs="Arial"/>
          <w:sz w:val="20"/>
          <w:szCs w:val="20"/>
        </w:rPr>
        <w:lastRenderedPageBreak/>
        <w:t>173, incs. 7º y 11, y 179 (2º párrafo), 190, 194 y 198 establecidos en el Código Penal por la llamada Ley 17.567 y 175 bis sancionado por la llamada Ley 18.934.</w:t>
      </w:r>
    </w:p>
    <w:p w14:paraId="33E2C1A4" w14:textId="2B943512" w:rsidR="00B4259A" w:rsidRPr="001C1B9B" w:rsidRDefault="004C26C6" w:rsidP="001C1B9B">
      <w:pPr>
        <w:spacing w:line="360" w:lineRule="auto"/>
        <w:ind w:firstLine="708"/>
        <w:jc w:val="both"/>
        <w:rPr>
          <w:rFonts w:ascii="Arial" w:hAnsi="Arial" w:cs="Arial"/>
          <w:sz w:val="20"/>
          <w:szCs w:val="20"/>
        </w:rPr>
      </w:pPr>
      <w:r w:rsidRPr="001C1B9B">
        <w:rPr>
          <w:rFonts w:ascii="Arial" w:hAnsi="Arial" w:cs="Arial"/>
          <w:sz w:val="20"/>
          <w:szCs w:val="20"/>
        </w:rPr>
        <w:t>Esa norma fue la última dictada en el ámbito local con relación a l</w:t>
      </w:r>
      <w:r w:rsidR="007F7C7B" w:rsidRPr="001C1B9B">
        <w:rPr>
          <w:rFonts w:ascii="Arial" w:hAnsi="Arial" w:cs="Arial"/>
          <w:sz w:val="20"/>
          <w:szCs w:val="20"/>
        </w:rPr>
        <w:t xml:space="preserve">os delitos existentes en materia aeronáutica, pues han existido otras reglamentaciones que omito mencionar </w:t>
      </w:r>
      <w:r w:rsidR="006C6F0C" w:rsidRPr="001C1B9B">
        <w:rPr>
          <w:rFonts w:ascii="Arial" w:hAnsi="Arial" w:cs="Arial"/>
          <w:sz w:val="20"/>
          <w:szCs w:val="20"/>
        </w:rPr>
        <w:t xml:space="preserve">ya que escapan al tema abordado en </w:t>
      </w:r>
      <w:r w:rsidR="007F7C7B" w:rsidRPr="001C1B9B">
        <w:rPr>
          <w:rFonts w:ascii="Arial" w:hAnsi="Arial" w:cs="Arial"/>
          <w:sz w:val="20"/>
          <w:szCs w:val="20"/>
        </w:rPr>
        <w:t>este trabajo</w:t>
      </w:r>
      <w:r w:rsidR="006C6F0C" w:rsidRPr="001C1B9B">
        <w:rPr>
          <w:rFonts w:ascii="Arial" w:hAnsi="Arial" w:cs="Arial"/>
          <w:sz w:val="20"/>
          <w:szCs w:val="20"/>
        </w:rPr>
        <w:t>.</w:t>
      </w:r>
    </w:p>
    <w:p w14:paraId="256C64AA" w14:textId="3405B835" w:rsidR="0068274B" w:rsidRPr="001C1B9B" w:rsidRDefault="00824E03" w:rsidP="00D56660">
      <w:pPr>
        <w:spacing w:line="240" w:lineRule="auto"/>
        <w:ind w:firstLine="709"/>
        <w:jc w:val="both"/>
        <w:rPr>
          <w:rFonts w:ascii="Arial" w:hAnsi="Arial" w:cs="Arial"/>
          <w:sz w:val="20"/>
          <w:szCs w:val="20"/>
        </w:rPr>
      </w:pPr>
      <w:r w:rsidRPr="001C1B9B">
        <w:rPr>
          <w:rFonts w:ascii="Arial" w:hAnsi="Arial" w:cs="Arial"/>
          <w:b/>
          <w:sz w:val="20"/>
          <w:szCs w:val="20"/>
          <w:lang w:val="es-ES"/>
        </w:rPr>
        <w:t xml:space="preserve">3. </w:t>
      </w:r>
      <w:r w:rsidR="004C26C6" w:rsidRPr="001C1B9B">
        <w:rPr>
          <w:rFonts w:ascii="Arial" w:hAnsi="Arial" w:cs="Arial"/>
          <w:b/>
          <w:sz w:val="20"/>
          <w:szCs w:val="20"/>
          <w:lang w:val="es-ES"/>
        </w:rPr>
        <w:t>Casos testigos verificadores del conflicto</w:t>
      </w:r>
      <w:r w:rsidR="0068274B" w:rsidRPr="001C1B9B">
        <w:rPr>
          <w:rFonts w:ascii="Arial" w:hAnsi="Arial" w:cs="Arial"/>
          <w:b/>
          <w:sz w:val="20"/>
          <w:szCs w:val="20"/>
          <w:lang w:val="es-ES"/>
        </w:rPr>
        <w:t>. Disimiles decisiones judiciales generadas por la incertidumbre normativa.</w:t>
      </w:r>
    </w:p>
    <w:p w14:paraId="169B2852" w14:textId="1DBD2E68" w:rsidR="004C26C6" w:rsidRPr="001C1B9B" w:rsidRDefault="004C26C6" w:rsidP="001C1B9B">
      <w:pPr>
        <w:spacing w:line="360" w:lineRule="auto"/>
        <w:ind w:firstLine="709"/>
        <w:jc w:val="both"/>
        <w:rPr>
          <w:rFonts w:ascii="Arial" w:hAnsi="Arial" w:cs="Arial"/>
          <w:sz w:val="20"/>
          <w:szCs w:val="20"/>
        </w:rPr>
      </w:pPr>
      <w:r w:rsidRPr="001C1B9B">
        <w:rPr>
          <w:rFonts w:ascii="Arial" w:hAnsi="Arial" w:cs="Arial"/>
          <w:sz w:val="20"/>
          <w:szCs w:val="20"/>
        </w:rPr>
        <w:t>A lo largo del estudio que llev</w:t>
      </w:r>
      <w:r w:rsidR="00766BE5" w:rsidRPr="001C1B9B">
        <w:rPr>
          <w:rFonts w:ascii="Arial" w:hAnsi="Arial" w:cs="Arial"/>
          <w:sz w:val="20"/>
          <w:szCs w:val="20"/>
        </w:rPr>
        <w:t>e</w:t>
      </w:r>
      <w:r w:rsidRPr="001C1B9B">
        <w:rPr>
          <w:rFonts w:ascii="Arial" w:hAnsi="Arial" w:cs="Arial"/>
          <w:sz w:val="20"/>
          <w:szCs w:val="20"/>
        </w:rPr>
        <w:t xml:space="preserve"> adelante para desarrollar este trabajo, he encontrado varios precedentes que no hacen más que revelar</w:t>
      </w:r>
      <w:r w:rsidR="00824E03" w:rsidRPr="001C1B9B">
        <w:rPr>
          <w:rFonts w:ascii="Arial" w:hAnsi="Arial" w:cs="Arial"/>
          <w:sz w:val="20"/>
          <w:szCs w:val="20"/>
        </w:rPr>
        <w:t xml:space="preserve"> las trascendencias del caos normativo </w:t>
      </w:r>
      <w:r w:rsidRPr="001C1B9B">
        <w:rPr>
          <w:rFonts w:ascii="Arial" w:hAnsi="Arial" w:cs="Arial"/>
          <w:sz w:val="20"/>
          <w:szCs w:val="20"/>
        </w:rPr>
        <w:t>que planteo, por sus intrínsecas diferencias sustanciales en orden a la norma aplicable.</w:t>
      </w:r>
    </w:p>
    <w:p w14:paraId="1BB9DD8C" w14:textId="10F36B91" w:rsidR="005E334C" w:rsidRPr="001C1B9B" w:rsidRDefault="00766BE5" w:rsidP="001C1B9B">
      <w:pPr>
        <w:spacing w:line="360" w:lineRule="auto"/>
        <w:ind w:firstLine="709"/>
        <w:jc w:val="both"/>
        <w:rPr>
          <w:rFonts w:ascii="Arial" w:hAnsi="Arial" w:cs="Arial"/>
          <w:sz w:val="20"/>
          <w:szCs w:val="20"/>
        </w:rPr>
      </w:pPr>
      <w:r w:rsidRPr="001C1B9B">
        <w:rPr>
          <w:rFonts w:ascii="Arial" w:hAnsi="Arial" w:cs="Arial"/>
          <w:sz w:val="20"/>
          <w:szCs w:val="20"/>
        </w:rPr>
        <w:t>Así, mencionaré</w:t>
      </w:r>
      <w:r w:rsidR="004C26C6" w:rsidRPr="001C1B9B">
        <w:rPr>
          <w:rFonts w:ascii="Arial" w:hAnsi="Arial" w:cs="Arial"/>
          <w:sz w:val="20"/>
          <w:szCs w:val="20"/>
        </w:rPr>
        <w:t xml:space="preserve"> </w:t>
      </w:r>
      <w:r w:rsidR="005E334C" w:rsidRPr="001C1B9B">
        <w:rPr>
          <w:rFonts w:ascii="Arial" w:hAnsi="Arial" w:cs="Arial"/>
          <w:sz w:val="20"/>
          <w:szCs w:val="20"/>
        </w:rPr>
        <w:t xml:space="preserve">algunos </w:t>
      </w:r>
      <w:r w:rsidR="004C26C6" w:rsidRPr="001C1B9B">
        <w:rPr>
          <w:rFonts w:ascii="Arial" w:hAnsi="Arial" w:cs="Arial"/>
          <w:sz w:val="20"/>
          <w:szCs w:val="20"/>
        </w:rPr>
        <w:t>fallos</w:t>
      </w:r>
      <w:r w:rsidR="005E334C" w:rsidRPr="001C1B9B">
        <w:rPr>
          <w:rFonts w:ascii="Arial" w:hAnsi="Arial" w:cs="Arial"/>
          <w:sz w:val="20"/>
          <w:szCs w:val="20"/>
        </w:rPr>
        <w:t xml:space="preserve"> que </w:t>
      </w:r>
      <w:r w:rsidR="004C26C6" w:rsidRPr="001C1B9B">
        <w:rPr>
          <w:rFonts w:ascii="Arial" w:hAnsi="Arial" w:cs="Arial"/>
          <w:sz w:val="20"/>
          <w:szCs w:val="20"/>
        </w:rPr>
        <w:t xml:space="preserve">permitirán entender </w:t>
      </w:r>
      <w:r w:rsidR="00824E03" w:rsidRPr="001C1B9B">
        <w:rPr>
          <w:rFonts w:ascii="Arial" w:hAnsi="Arial" w:cs="Arial"/>
          <w:sz w:val="20"/>
          <w:szCs w:val="20"/>
        </w:rPr>
        <w:t>las serias inconsistencias entre las decisiones a las que arribaron diversos tribunales de diferentes instancias</w:t>
      </w:r>
      <w:r w:rsidR="00B4259A" w:rsidRPr="001C1B9B">
        <w:rPr>
          <w:rFonts w:ascii="Arial" w:hAnsi="Arial" w:cs="Arial"/>
          <w:sz w:val="20"/>
          <w:szCs w:val="20"/>
        </w:rPr>
        <w:t xml:space="preserve"> de nuestro país al estudiar casos en presumible conflicto con las normas aeronáuticas</w:t>
      </w:r>
      <w:r w:rsidR="00824E03" w:rsidRPr="001C1B9B">
        <w:rPr>
          <w:rFonts w:ascii="Arial" w:hAnsi="Arial" w:cs="Arial"/>
          <w:sz w:val="20"/>
          <w:szCs w:val="20"/>
        </w:rPr>
        <w:t xml:space="preserve">. </w:t>
      </w:r>
    </w:p>
    <w:p w14:paraId="3A9C6B93" w14:textId="39A183AD" w:rsidR="005E334C" w:rsidRPr="001C1B9B" w:rsidRDefault="005E334C" w:rsidP="001C1B9B">
      <w:pPr>
        <w:spacing w:line="360" w:lineRule="auto"/>
        <w:ind w:firstLine="709"/>
        <w:jc w:val="both"/>
        <w:rPr>
          <w:rFonts w:ascii="Arial" w:hAnsi="Arial" w:cs="Arial"/>
          <w:b/>
          <w:sz w:val="20"/>
          <w:szCs w:val="20"/>
        </w:rPr>
      </w:pPr>
      <w:r w:rsidRPr="001C1B9B">
        <w:rPr>
          <w:rFonts w:ascii="Arial" w:hAnsi="Arial" w:cs="Arial"/>
          <w:b/>
          <w:sz w:val="20"/>
          <w:szCs w:val="20"/>
        </w:rPr>
        <w:t>a) Cas</w:t>
      </w:r>
      <w:r w:rsidR="009837C1" w:rsidRPr="001C1B9B">
        <w:rPr>
          <w:rFonts w:ascii="Arial" w:hAnsi="Arial" w:cs="Arial"/>
          <w:b/>
          <w:sz w:val="20"/>
          <w:szCs w:val="20"/>
        </w:rPr>
        <w:t>o</w:t>
      </w:r>
      <w:r w:rsidRPr="001C1B9B">
        <w:rPr>
          <w:rFonts w:ascii="Arial" w:hAnsi="Arial" w:cs="Arial"/>
          <w:b/>
          <w:sz w:val="20"/>
          <w:szCs w:val="20"/>
        </w:rPr>
        <w:t xml:space="preserve"> “A</w:t>
      </w:r>
      <w:r w:rsidR="009837C1" w:rsidRPr="001C1B9B">
        <w:rPr>
          <w:rFonts w:ascii="Arial" w:hAnsi="Arial" w:cs="Arial"/>
          <w:b/>
          <w:sz w:val="20"/>
          <w:szCs w:val="20"/>
        </w:rPr>
        <w:t>valle</w:t>
      </w:r>
      <w:r w:rsidRPr="001C1B9B">
        <w:rPr>
          <w:rFonts w:ascii="Arial" w:hAnsi="Arial" w:cs="Arial"/>
          <w:b/>
          <w:sz w:val="20"/>
          <w:szCs w:val="20"/>
        </w:rPr>
        <w:t>”</w:t>
      </w:r>
      <w:r w:rsidR="009837C1" w:rsidRPr="001C1B9B">
        <w:rPr>
          <w:rStyle w:val="Refdenotaalpie"/>
          <w:rFonts w:ascii="Arial" w:hAnsi="Arial" w:cs="Arial"/>
          <w:sz w:val="20"/>
          <w:szCs w:val="20"/>
        </w:rPr>
        <w:footnoteReference w:id="2"/>
      </w:r>
      <w:r w:rsidR="00824E03" w:rsidRPr="001C1B9B">
        <w:rPr>
          <w:rFonts w:ascii="Arial" w:hAnsi="Arial" w:cs="Arial"/>
          <w:b/>
          <w:sz w:val="20"/>
          <w:szCs w:val="20"/>
        </w:rPr>
        <w:t>.</w:t>
      </w:r>
    </w:p>
    <w:p w14:paraId="2CD6B395" w14:textId="07BDD5CC" w:rsidR="00263FCD" w:rsidRPr="001C1B9B" w:rsidRDefault="00263FCD" w:rsidP="001C1B9B">
      <w:pPr>
        <w:spacing w:line="360" w:lineRule="auto"/>
        <w:ind w:firstLine="708"/>
        <w:jc w:val="both"/>
        <w:rPr>
          <w:rFonts w:ascii="Arial" w:eastAsia="Times New Roman" w:hAnsi="Arial" w:cs="Arial"/>
          <w:color w:val="000000"/>
          <w:sz w:val="20"/>
          <w:szCs w:val="20"/>
          <w:lang w:eastAsia="es-AR"/>
        </w:rPr>
      </w:pPr>
      <w:r w:rsidRPr="001C1B9B">
        <w:rPr>
          <w:rFonts w:ascii="Arial" w:eastAsia="Times New Roman" w:hAnsi="Arial" w:cs="Arial"/>
          <w:color w:val="000000"/>
          <w:sz w:val="20"/>
          <w:szCs w:val="20"/>
          <w:lang w:eastAsia="es-AR"/>
        </w:rPr>
        <w:t>En este caso, se persiguió a Dante Avalle por haber realizado vuelos rasantes y/o maniobras de muy baja altura con una aeronave de su propiedad en las inmediaciones de la Agrupación Marplatense de Aeromodelismo, ubicada en el predio de la Laguna de los Padres, en adyacencia a Sierra de los Padres, Ruta 226, Km. 15, sin contar con autorización para realizar cualquier tipo de acrobacia aérea, poniendo en peligro la vida o bienes de terceros.</w:t>
      </w:r>
    </w:p>
    <w:p w14:paraId="073915EB" w14:textId="77777777" w:rsidR="00263FCD" w:rsidRPr="001C1B9B" w:rsidRDefault="004C26C6" w:rsidP="001C1B9B">
      <w:pPr>
        <w:spacing w:line="360" w:lineRule="auto"/>
        <w:ind w:firstLine="708"/>
        <w:jc w:val="both"/>
        <w:rPr>
          <w:rFonts w:ascii="Arial" w:eastAsia="Times New Roman" w:hAnsi="Arial" w:cs="Arial"/>
          <w:color w:val="000000"/>
          <w:sz w:val="20"/>
          <w:szCs w:val="20"/>
          <w:lang w:eastAsia="es-AR"/>
        </w:rPr>
      </w:pPr>
      <w:r w:rsidRPr="001C1B9B">
        <w:rPr>
          <w:rFonts w:ascii="Arial" w:eastAsia="Times New Roman" w:hAnsi="Arial" w:cs="Arial"/>
          <w:color w:val="000000"/>
          <w:sz w:val="20"/>
          <w:szCs w:val="20"/>
          <w:lang w:eastAsia="es-AR"/>
        </w:rPr>
        <w:t xml:space="preserve">El juez Santiago Inchausti, a cargo del Juzgado en lo Criminal y Correccional Federal de Mar del Plata N° 3, decretó </w:t>
      </w:r>
      <w:r w:rsidR="00263FCD" w:rsidRPr="001C1B9B">
        <w:rPr>
          <w:rFonts w:ascii="Arial" w:eastAsia="Times New Roman" w:hAnsi="Arial" w:cs="Arial"/>
          <w:color w:val="000000"/>
          <w:sz w:val="20"/>
          <w:szCs w:val="20"/>
          <w:lang w:eastAsia="es-AR"/>
        </w:rPr>
        <w:t xml:space="preserve">con fecha 7 de agosto de 2017 </w:t>
      </w:r>
      <w:r w:rsidRPr="001C1B9B">
        <w:rPr>
          <w:rFonts w:ascii="Arial" w:eastAsia="Times New Roman" w:hAnsi="Arial" w:cs="Arial"/>
          <w:color w:val="000000"/>
          <w:sz w:val="20"/>
          <w:szCs w:val="20"/>
          <w:lang w:eastAsia="es-AR"/>
        </w:rPr>
        <w:t>el procesamiento sin prisión preventiva de</w:t>
      </w:r>
      <w:r w:rsidR="00263FCD" w:rsidRPr="001C1B9B">
        <w:rPr>
          <w:rFonts w:ascii="Arial" w:eastAsia="Times New Roman" w:hAnsi="Arial" w:cs="Arial"/>
          <w:color w:val="000000"/>
          <w:sz w:val="20"/>
          <w:szCs w:val="20"/>
          <w:lang w:eastAsia="es-AR"/>
        </w:rPr>
        <w:t>l nombrado</w:t>
      </w:r>
      <w:r w:rsidRPr="001C1B9B">
        <w:rPr>
          <w:rFonts w:ascii="Arial" w:eastAsia="Times New Roman" w:hAnsi="Arial" w:cs="Arial"/>
          <w:color w:val="000000"/>
          <w:sz w:val="20"/>
          <w:szCs w:val="20"/>
          <w:lang w:eastAsia="es-AR"/>
        </w:rPr>
        <w:t>, por considerarlo autor penalmente responsable del delito previsto y penado por el artículo 221, inciso 2), del Código Aeronáutico.</w:t>
      </w:r>
    </w:p>
    <w:p w14:paraId="270AB478" w14:textId="4B3630C0" w:rsidR="003828F4" w:rsidRPr="001C1B9B" w:rsidRDefault="00263FCD" w:rsidP="001C1B9B">
      <w:pPr>
        <w:spacing w:line="360" w:lineRule="auto"/>
        <w:ind w:firstLine="708"/>
        <w:jc w:val="both"/>
        <w:rPr>
          <w:rFonts w:ascii="Arial" w:hAnsi="Arial" w:cs="Arial"/>
          <w:sz w:val="20"/>
          <w:szCs w:val="20"/>
        </w:rPr>
      </w:pPr>
      <w:r w:rsidRPr="001C1B9B">
        <w:rPr>
          <w:rFonts w:ascii="Arial" w:eastAsia="Times New Roman" w:hAnsi="Arial" w:cs="Arial"/>
          <w:bCs/>
          <w:color w:val="000000"/>
          <w:sz w:val="20"/>
          <w:szCs w:val="20"/>
          <w:lang w:eastAsia="es-AR"/>
        </w:rPr>
        <w:t xml:space="preserve">La conducta típica </w:t>
      </w:r>
      <w:r w:rsidR="003828F4" w:rsidRPr="001C1B9B">
        <w:rPr>
          <w:rFonts w:ascii="Arial" w:eastAsia="Times New Roman" w:hAnsi="Arial" w:cs="Arial"/>
          <w:bCs/>
          <w:color w:val="000000"/>
          <w:sz w:val="20"/>
          <w:szCs w:val="20"/>
          <w:lang w:eastAsia="es-AR"/>
        </w:rPr>
        <w:t>mencionada</w:t>
      </w:r>
      <w:r w:rsidRPr="001C1B9B">
        <w:rPr>
          <w:rFonts w:ascii="Arial" w:eastAsia="Times New Roman" w:hAnsi="Arial" w:cs="Arial"/>
          <w:bCs/>
          <w:color w:val="000000"/>
          <w:sz w:val="20"/>
          <w:szCs w:val="20"/>
          <w:lang w:eastAsia="es-AR"/>
        </w:rPr>
        <w:t xml:space="preserve"> sancionaba con </w:t>
      </w:r>
      <w:r w:rsidRPr="001C1B9B">
        <w:rPr>
          <w:rFonts w:ascii="Arial" w:eastAsia="Times New Roman" w:hAnsi="Arial" w:cs="Arial"/>
          <w:color w:val="000000"/>
          <w:sz w:val="20"/>
          <w:szCs w:val="20"/>
          <w:lang w:eastAsia="es-AR"/>
        </w:rPr>
        <w:t xml:space="preserve">prisión de 6 meses a 4 años a </w:t>
      </w:r>
      <w:r w:rsidR="009837C1" w:rsidRPr="001C1B9B">
        <w:rPr>
          <w:rFonts w:ascii="Arial" w:eastAsia="Times New Roman" w:hAnsi="Arial" w:cs="Arial"/>
          <w:color w:val="000000"/>
          <w:sz w:val="20"/>
          <w:szCs w:val="20"/>
          <w:lang w:eastAsia="es-AR"/>
        </w:rPr>
        <w:t>quien,</w:t>
      </w:r>
      <w:r w:rsidRPr="001C1B9B">
        <w:rPr>
          <w:rFonts w:ascii="Arial" w:eastAsia="Times New Roman" w:hAnsi="Arial" w:cs="Arial"/>
          <w:color w:val="000000"/>
          <w:sz w:val="20"/>
          <w:szCs w:val="20"/>
          <w:lang w:eastAsia="es-AR"/>
        </w:rPr>
        <w:t xml:space="preserve"> sin autorización, efectuase vuelos arriesgados poniendo en peligro la vida o bienes de terceros</w:t>
      </w:r>
      <w:r w:rsidR="003828F4" w:rsidRPr="001C1B9B">
        <w:rPr>
          <w:rFonts w:ascii="Arial" w:eastAsia="Times New Roman" w:hAnsi="Arial" w:cs="Arial"/>
          <w:color w:val="000000"/>
          <w:sz w:val="20"/>
          <w:szCs w:val="20"/>
          <w:lang w:eastAsia="es-AR"/>
        </w:rPr>
        <w:t xml:space="preserve"> (</w:t>
      </w:r>
      <w:r w:rsidR="0028635A" w:rsidRPr="001C1B9B">
        <w:rPr>
          <w:rFonts w:ascii="Arial" w:eastAsia="Times New Roman" w:hAnsi="Arial" w:cs="Arial"/>
          <w:color w:val="000000"/>
          <w:sz w:val="20"/>
          <w:szCs w:val="20"/>
          <w:lang w:eastAsia="es-AR"/>
        </w:rPr>
        <w:t>c</w:t>
      </w:r>
      <w:r w:rsidR="003828F4" w:rsidRPr="001C1B9B">
        <w:rPr>
          <w:rFonts w:ascii="Arial" w:eastAsia="Times New Roman" w:hAnsi="Arial" w:cs="Arial"/>
          <w:color w:val="000000"/>
          <w:sz w:val="20"/>
          <w:szCs w:val="20"/>
          <w:lang w:eastAsia="es-AR"/>
        </w:rPr>
        <w:t>fr. 221 inc. 2 del Código Aeronáutico)</w:t>
      </w:r>
      <w:r w:rsidR="00B4259A" w:rsidRPr="001C1B9B">
        <w:rPr>
          <w:rFonts w:ascii="Arial" w:eastAsia="Times New Roman" w:hAnsi="Arial" w:cs="Arial"/>
          <w:color w:val="000000"/>
          <w:sz w:val="20"/>
          <w:szCs w:val="20"/>
          <w:lang w:eastAsia="es-AR"/>
        </w:rPr>
        <w:t xml:space="preserve">. El </w:t>
      </w:r>
      <w:r w:rsidR="003828F4" w:rsidRPr="001C1B9B">
        <w:rPr>
          <w:rFonts w:ascii="Arial" w:eastAsia="Times New Roman" w:hAnsi="Arial" w:cs="Arial"/>
          <w:color w:val="000000"/>
          <w:sz w:val="20"/>
          <w:szCs w:val="20"/>
          <w:lang w:eastAsia="es-AR"/>
        </w:rPr>
        <w:t xml:space="preserve">magistrado consideró que </w:t>
      </w:r>
      <w:r w:rsidR="00B4259A" w:rsidRPr="001C1B9B">
        <w:rPr>
          <w:rFonts w:ascii="Arial" w:eastAsia="Times New Roman" w:hAnsi="Arial" w:cs="Arial"/>
          <w:color w:val="000000"/>
          <w:sz w:val="20"/>
          <w:szCs w:val="20"/>
          <w:lang w:eastAsia="es-AR"/>
        </w:rPr>
        <w:t>e</w:t>
      </w:r>
      <w:r w:rsidR="003828F4" w:rsidRPr="001C1B9B">
        <w:rPr>
          <w:rFonts w:ascii="Arial" w:hAnsi="Arial" w:cs="Arial"/>
          <w:sz w:val="20"/>
          <w:szCs w:val="20"/>
        </w:rPr>
        <w:t>ste delito desplaza</w:t>
      </w:r>
      <w:r w:rsidR="00B4259A" w:rsidRPr="001C1B9B">
        <w:rPr>
          <w:rFonts w:ascii="Arial" w:hAnsi="Arial" w:cs="Arial"/>
          <w:sz w:val="20"/>
          <w:szCs w:val="20"/>
        </w:rPr>
        <w:t>ba</w:t>
      </w:r>
      <w:r w:rsidR="003828F4" w:rsidRPr="001C1B9B">
        <w:rPr>
          <w:rFonts w:ascii="Arial" w:hAnsi="Arial" w:cs="Arial"/>
          <w:sz w:val="20"/>
          <w:szCs w:val="20"/>
        </w:rPr>
        <w:t xml:space="preserve"> por especificidad al previsto en el artículo 190 del Código Penal.</w:t>
      </w:r>
      <w:r w:rsidR="008444B0" w:rsidRPr="001C1B9B">
        <w:rPr>
          <w:rFonts w:ascii="Arial" w:hAnsi="Arial" w:cs="Arial"/>
          <w:sz w:val="20"/>
          <w:szCs w:val="20"/>
        </w:rPr>
        <w:t xml:space="preserve"> </w:t>
      </w:r>
      <w:r w:rsidR="003828F4" w:rsidRPr="001C1B9B">
        <w:rPr>
          <w:rFonts w:ascii="Arial" w:hAnsi="Arial" w:cs="Arial"/>
          <w:sz w:val="20"/>
          <w:szCs w:val="20"/>
        </w:rPr>
        <w:t xml:space="preserve">La defensa del imputado, instó recurso de apelación criticando </w:t>
      </w:r>
      <w:r w:rsidR="00B4259A" w:rsidRPr="001C1B9B">
        <w:rPr>
          <w:rFonts w:ascii="Arial" w:hAnsi="Arial" w:cs="Arial"/>
          <w:sz w:val="20"/>
          <w:szCs w:val="20"/>
        </w:rPr>
        <w:t>esa</w:t>
      </w:r>
      <w:r w:rsidR="003828F4" w:rsidRPr="001C1B9B">
        <w:rPr>
          <w:rFonts w:ascii="Arial" w:hAnsi="Arial" w:cs="Arial"/>
          <w:sz w:val="20"/>
          <w:szCs w:val="20"/>
        </w:rPr>
        <w:t xml:space="preserve"> decisión</w:t>
      </w:r>
      <w:r w:rsidR="00B4259A" w:rsidRPr="001C1B9B">
        <w:rPr>
          <w:rFonts w:ascii="Arial" w:hAnsi="Arial" w:cs="Arial"/>
          <w:sz w:val="20"/>
          <w:szCs w:val="20"/>
        </w:rPr>
        <w:t>, lo cual motivó</w:t>
      </w:r>
      <w:r w:rsidR="003828F4" w:rsidRPr="001C1B9B">
        <w:rPr>
          <w:rFonts w:ascii="Arial" w:hAnsi="Arial" w:cs="Arial"/>
          <w:sz w:val="20"/>
          <w:szCs w:val="20"/>
        </w:rPr>
        <w:t xml:space="preserve"> que la </w:t>
      </w:r>
      <w:r w:rsidR="00B4259A" w:rsidRPr="001C1B9B">
        <w:rPr>
          <w:rFonts w:ascii="Arial" w:hAnsi="Arial" w:cs="Arial"/>
          <w:sz w:val="20"/>
          <w:szCs w:val="20"/>
        </w:rPr>
        <w:t xml:space="preserve">Excma. </w:t>
      </w:r>
      <w:r w:rsidR="003828F4" w:rsidRPr="001C1B9B">
        <w:rPr>
          <w:rFonts w:ascii="Arial" w:hAnsi="Arial" w:cs="Arial"/>
          <w:sz w:val="20"/>
          <w:szCs w:val="20"/>
        </w:rPr>
        <w:t xml:space="preserve">Cámara Federal de Mar del Plata se aboque al tratamiento del caso. </w:t>
      </w:r>
    </w:p>
    <w:p w14:paraId="4884038D" w14:textId="28A2E992" w:rsidR="003828F4" w:rsidRPr="001C1B9B" w:rsidRDefault="003828F4" w:rsidP="001C1B9B">
      <w:pPr>
        <w:spacing w:line="360" w:lineRule="auto"/>
        <w:ind w:firstLine="708"/>
        <w:jc w:val="both"/>
        <w:rPr>
          <w:rFonts w:ascii="Arial" w:hAnsi="Arial" w:cs="Arial"/>
          <w:sz w:val="20"/>
          <w:szCs w:val="20"/>
        </w:rPr>
      </w:pPr>
      <w:r w:rsidRPr="001C1B9B">
        <w:rPr>
          <w:rFonts w:ascii="Arial" w:hAnsi="Arial" w:cs="Arial"/>
          <w:sz w:val="20"/>
          <w:szCs w:val="20"/>
        </w:rPr>
        <w:t xml:space="preserve">Los integrantes del mentado cuerpo, resolvieron la cuestión en fecha 2 de marzo de 2018, declarando la nulidad del auto de procesamiento de fecha 7 de agosto de 2017, y ordenaron al </w:t>
      </w:r>
      <w:r w:rsidRPr="001C1B9B">
        <w:rPr>
          <w:rFonts w:ascii="Arial" w:hAnsi="Arial" w:cs="Arial"/>
          <w:sz w:val="20"/>
          <w:szCs w:val="20"/>
        </w:rPr>
        <w:lastRenderedPageBreak/>
        <w:t>magistrado a dictar un nuevo pronunciamiento, ello en el entendimiento que la calificación es</w:t>
      </w:r>
      <w:r w:rsidR="00B4259A" w:rsidRPr="001C1B9B">
        <w:rPr>
          <w:rFonts w:ascii="Arial" w:hAnsi="Arial" w:cs="Arial"/>
          <w:sz w:val="20"/>
          <w:szCs w:val="20"/>
        </w:rPr>
        <w:t>cogida, artículo 221, inciso 2)</w:t>
      </w:r>
      <w:r w:rsidRPr="001C1B9B">
        <w:rPr>
          <w:rFonts w:ascii="Arial" w:hAnsi="Arial" w:cs="Arial"/>
          <w:sz w:val="20"/>
          <w:szCs w:val="20"/>
        </w:rPr>
        <w:t xml:space="preserve"> del Código Aeronáutico aplicada lucia incorrecta </w:t>
      </w:r>
      <w:r w:rsidR="00B4259A" w:rsidRPr="001C1B9B">
        <w:rPr>
          <w:rFonts w:ascii="Arial" w:hAnsi="Arial" w:cs="Arial"/>
          <w:sz w:val="20"/>
          <w:szCs w:val="20"/>
        </w:rPr>
        <w:t xml:space="preserve">por haber </w:t>
      </w:r>
      <w:r w:rsidRPr="001C1B9B">
        <w:rPr>
          <w:rFonts w:ascii="Arial" w:hAnsi="Arial" w:cs="Arial"/>
          <w:sz w:val="20"/>
          <w:szCs w:val="20"/>
        </w:rPr>
        <w:t>sido derogada.</w:t>
      </w:r>
    </w:p>
    <w:p w14:paraId="04C52004" w14:textId="3A97CAAC" w:rsidR="003828F4" w:rsidRPr="001C1B9B" w:rsidRDefault="003828F4" w:rsidP="001C1B9B">
      <w:pPr>
        <w:spacing w:line="360" w:lineRule="auto"/>
        <w:ind w:firstLine="708"/>
        <w:jc w:val="both"/>
        <w:rPr>
          <w:rFonts w:ascii="Arial" w:hAnsi="Arial" w:cs="Arial"/>
          <w:sz w:val="20"/>
          <w:szCs w:val="20"/>
        </w:rPr>
      </w:pPr>
      <w:r w:rsidRPr="001C1B9B">
        <w:rPr>
          <w:rFonts w:ascii="Arial" w:hAnsi="Arial" w:cs="Arial"/>
          <w:sz w:val="20"/>
          <w:szCs w:val="20"/>
        </w:rPr>
        <w:t xml:space="preserve">El caso volvió así a primera instancia, circunstancia en la cual el magistrado decidió mantener el procesamiento dictado, pero signando los hechos bajo la figura plasmado en el art. 190 del C.P. </w:t>
      </w:r>
    </w:p>
    <w:p w14:paraId="0E8A285F" w14:textId="3B2A54DC" w:rsidR="003828F4" w:rsidRPr="001C1B9B" w:rsidRDefault="003828F4" w:rsidP="001C1B9B">
      <w:pPr>
        <w:spacing w:line="360" w:lineRule="auto"/>
        <w:ind w:firstLine="708"/>
        <w:jc w:val="both"/>
        <w:rPr>
          <w:rFonts w:ascii="Arial" w:hAnsi="Arial" w:cs="Arial"/>
          <w:i/>
          <w:sz w:val="20"/>
          <w:szCs w:val="20"/>
        </w:rPr>
      </w:pPr>
      <w:r w:rsidRPr="001C1B9B">
        <w:rPr>
          <w:rFonts w:ascii="Arial" w:hAnsi="Arial" w:cs="Arial"/>
          <w:sz w:val="20"/>
          <w:szCs w:val="20"/>
        </w:rPr>
        <w:t>En el resuelvo, el juez sostuvo que “…</w:t>
      </w:r>
      <w:r w:rsidRPr="001C1B9B">
        <w:rPr>
          <w:rFonts w:ascii="Arial" w:hAnsi="Arial" w:cs="Arial"/>
          <w:i/>
          <w:sz w:val="20"/>
          <w:szCs w:val="20"/>
        </w:rPr>
        <w:t>la conducta encuadra en la figura contemplada en el artículo 190 primera y cuarta parte, el que establece “Será reprimido con prisión de dos a ocho años, el que a sabiendas ejecutare cualquier acto que ponga en peligro la seguridad de una nave, construcción flotante o aeronave…</w:t>
      </w:r>
      <w:r w:rsidR="00D4141C" w:rsidRPr="001C1B9B">
        <w:rPr>
          <w:rFonts w:ascii="Arial" w:hAnsi="Arial" w:cs="Arial"/>
          <w:i/>
          <w:sz w:val="20"/>
          <w:szCs w:val="20"/>
        </w:rPr>
        <w:t xml:space="preserve"> </w:t>
      </w:r>
      <w:r w:rsidRPr="001C1B9B">
        <w:rPr>
          <w:rFonts w:ascii="Arial" w:hAnsi="Arial" w:cs="Arial"/>
          <w:i/>
          <w:sz w:val="20"/>
          <w:szCs w:val="20"/>
        </w:rPr>
        <w:t xml:space="preserve">Las disposiciones precedentes se </w:t>
      </w:r>
      <w:r w:rsidR="00C77333" w:rsidRPr="001C1B9B">
        <w:rPr>
          <w:rFonts w:ascii="Arial" w:hAnsi="Arial" w:cs="Arial"/>
          <w:i/>
          <w:sz w:val="20"/>
          <w:szCs w:val="20"/>
        </w:rPr>
        <w:t>aplicarán,</w:t>
      </w:r>
      <w:r w:rsidRPr="001C1B9B">
        <w:rPr>
          <w:rFonts w:ascii="Arial" w:hAnsi="Arial" w:cs="Arial"/>
          <w:i/>
          <w:sz w:val="20"/>
          <w:szCs w:val="20"/>
        </w:rPr>
        <w:t xml:space="preserve"> aunque la acción recaiga sobre una cosa propia, si del hecho deriva peligro para la seguridad común”.</w:t>
      </w:r>
    </w:p>
    <w:p w14:paraId="1EDED777" w14:textId="4F0DD3FE" w:rsidR="00D4141C" w:rsidRPr="001C1B9B" w:rsidRDefault="00D4141C" w:rsidP="001C1B9B">
      <w:pPr>
        <w:spacing w:line="360" w:lineRule="auto"/>
        <w:ind w:firstLine="708"/>
        <w:jc w:val="both"/>
        <w:rPr>
          <w:rFonts w:ascii="Arial" w:hAnsi="Arial" w:cs="Arial"/>
          <w:sz w:val="20"/>
          <w:szCs w:val="20"/>
          <w:lang w:val="es-ES"/>
        </w:rPr>
      </w:pPr>
      <w:r w:rsidRPr="001C1B9B">
        <w:rPr>
          <w:rFonts w:ascii="Arial" w:hAnsi="Arial" w:cs="Arial"/>
          <w:sz w:val="20"/>
          <w:szCs w:val="20"/>
        </w:rPr>
        <w:t>Como puede observarse, por ante la instancia de grado se pasó de recriminarle a</w:t>
      </w:r>
      <w:r w:rsidR="008444B0" w:rsidRPr="001C1B9B">
        <w:rPr>
          <w:rFonts w:ascii="Arial" w:hAnsi="Arial" w:cs="Arial"/>
          <w:sz w:val="20"/>
          <w:szCs w:val="20"/>
        </w:rPr>
        <w:t xml:space="preserve">l encartado </w:t>
      </w:r>
      <w:r w:rsidRPr="001C1B9B">
        <w:rPr>
          <w:rFonts w:ascii="Arial" w:hAnsi="Arial" w:cs="Arial"/>
          <w:sz w:val="20"/>
          <w:szCs w:val="20"/>
        </w:rPr>
        <w:t xml:space="preserve">efectuar vuelos arriesgados poniendo en peligro la vida o bienes de terceros (Cfr. 221 inc. 2 del Código Aeronáutico); a considerar que </w:t>
      </w:r>
      <w:r w:rsidR="008444B0" w:rsidRPr="001C1B9B">
        <w:rPr>
          <w:rFonts w:ascii="Arial" w:hAnsi="Arial" w:cs="Arial"/>
          <w:sz w:val="20"/>
          <w:szCs w:val="20"/>
        </w:rPr>
        <w:t xml:space="preserve">con su conducta </w:t>
      </w:r>
      <w:r w:rsidRPr="001C1B9B">
        <w:rPr>
          <w:rFonts w:ascii="Arial" w:hAnsi="Arial" w:cs="Arial"/>
          <w:sz w:val="20"/>
          <w:szCs w:val="20"/>
        </w:rPr>
        <w:t>habría ejecutado actos que han puesto en peligro la seguridad de una ae</w:t>
      </w:r>
      <w:r w:rsidR="008444B0" w:rsidRPr="001C1B9B">
        <w:rPr>
          <w:rFonts w:ascii="Arial" w:hAnsi="Arial" w:cs="Arial"/>
          <w:sz w:val="20"/>
          <w:szCs w:val="20"/>
        </w:rPr>
        <w:t xml:space="preserve">ronave (cfr. art. 190 del C.P.), lo cual a mi modo de ver resulta </w:t>
      </w:r>
      <w:r w:rsidRPr="001C1B9B">
        <w:rPr>
          <w:rFonts w:ascii="Arial" w:hAnsi="Arial" w:cs="Arial"/>
          <w:sz w:val="20"/>
          <w:szCs w:val="20"/>
        </w:rPr>
        <w:t xml:space="preserve">descabellada pues no solo importa una mutación sustancial de la plataforma fáctica, sino que además </w:t>
      </w:r>
      <w:r w:rsidR="00824E03" w:rsidRPr="001C1B9B">
        <w:rPr>
          <w:rFonts w:ascii="Arial" w:hAnsi="Arial" w:cs="Arial"/>
          <w:sz w:val="20"/>
          <w:szCs w:val="20"/>
        </w:rPr>
        <w:t>lo</w:t>
      </w:r>
      <w:r w:rsidRPr="001C1B9B">
        <w:rPr>
          <w:rFonts w:ascii="Arial" w:hAnsi="Arial" w:cs="Arial"/>
          <w:sz w:val="20"/>
          <w:szCs w:val="20"/>
        </w:rPr>
        <w:t xml:space="preserve">s tipos penales mencionados protegen supuestos totalmente disimiles, </w:t>
      </w:r>
      <w:r w:rsidR="00B4259A" w:rsidRPr="001C1B9B">
        <w:rPr>
          <w:rFonts w:ascii="Arial" w:hAnsi="Arial" w:cs="Arial"/>
          <w:sz w:val="20"/>
          <w:szCs w:val="20"/>
        </w:rPr>
        <w:t xml:space="preserve">en tanto y en cuanto </w:t>
      </w:r>
      <w:r w:rsidRPr="001C1B9B">
        <w:rPr>
          <w:rFonts w:ascii="Arial" w:hAnsi="Arial" w:cs="Arial"/>
          <w:sz w:val="20"/>
          <w:szCs w:val="20"/>
        </w:rPr>
        <w:t xml:space="preserve">mientras el primero se aboca al cuidado de los terceros que pudieren haberse visto perjudicados por el vuelo temerario realizado, la conducta estipulada en el art. 190 del C.P. va dirigida al cuidado en sí de la propia aeronave.  </w:t>
      </w:r>
    </w:p>
    <w:p w14:paraId="693B42F6" w14:textId="5BC90EFB" w:rsidR="00D4141C" w:rsidRPr="001C1B9B" w:rsidRDefault="00D4141C" w:rsidP="001C1B9B">
      <w:pPr>
        <w:spacing w:line="360" w:lineRule="auto"/>
        <w:ind w:firstLine="709"/>
        <w:jc w:val="both"/>
        <w:rPr>
          <w:rFonts w:ascii="Arial" w:hAnsi="Arial" w:cs="Arial"/>
          <w:b/>
          <w:sz w:val="20"/>
          <w:szCs w:val="20"/>
        </w:rPr>
      </w:pPr>
      <w:r w:rsidRPr="001C1B9B">
        <w:rPr>
          <w:rFonts w:ascii="Arial" w:hAnsi="Arial" w:cs="Arial"/>
          <w:b/>
          <w:sz w:val="20"/>
          <w:szCs w:val="20"/>
          <w:lang w:val="es-ES"/>
        </w:rPr>
        <w:t>b) Ca</w:t>
      </w:r>
      <w:r w:rsidR="00D855EC" w:rsidRPr="001C1B9B">
        <w:rPr>
          <w:rFonts w:ascii="Arial" w:hAnsi="Arial" w:cs="Arial"/>
          <w:b/>
          <w:sz w:val="20"/>
          <w:szCs w:val="20"/>
          <w:lang w:val="es-ES"/>
        </w:rPr>
        <w:t>so</w:t>
      </w:r>
      <w:r w:rsidRPr="001C1B9B">
        <w:rPr>
          <w:rFonts w:ascii="Arial" w:hAnsi="Arial" w:cs="Arial"/>
          <w:b/>
          <w:sz w:val="20"/>
          <w:szCs w:val="20"/>
          <w:lang w:val="es-ES"/>
        </w:rPr>
        <w:t xml:space="preserve"> </w:t>
      </w:r>
      <w:r w:rsidR="00D52C41" w:rsidRPr="001C1B9B">
        <w:rPr>
          <w:rFonts w:ascii="Arial" w:hAnsi="Arial" w:cs="Arial"/>
          <w:b/>
          <w:sz w:val="20"/>
          <w:szCs w:val="20"/>
          <w:lang w:val="es-ES"/>
        </w:rPr>
        <w:t>“Saramaga”</w:t>
      </w:r>
      <w:r w:rsidR="00D52C41" w:rsidRPr="001C1B9B">
        <w:rPr>
          <w:rStyle w:val="Refdenotaalpie"/>
          <w:rFonts w:ascii="Arial" w:hAnsi="Arial" w:cs="Arial"/>
          <w:sz w:val="20"/>
          <w:szCs w:val="20"/>
          <w:lang w:val="es-ES"/>
        </w:rPr>
        <w:footnoteReference w:id="3"/>
      </w:r>
      <w:r w:rsidR="00D52C41" w:rsidRPr="001C1B9B">
        <w:rPr>
          <w:rFonts w:ascii="Arial" w:hAnsi="Arial" w:cs="Arial"/>
          <w:b/>
          <w:sz w:val="20"/>
          <w:szCs w:val="20"/>
          <w:lang w:val="es-ES"/>
        </w:rPr>
        <w:t>.</w:t>
      </w:r>
    </w:p>
    <w:p w14:paraId="7272C5C0" w14:textId="4DED9F03" w:rsidR="00D4141C" w:rsidRPr="001C1B9B" w:rsidRDefault="00824E03" w:rsidP="001C1B9B">
      <w:pPr>
        <w:spacing w:line="360" w:lineRule="auto"/>
        <w:ind w:firstLine="709"/>
        <w:jc w:val="both"/>
        <w:rPr>
          <w:rFonts w:ascii="Arial" w:hAnsi="Arial" w:cs="Arial"/>
          <w:sz w:val="20"/>
          <w:szCs w:val="20"/>
        </w:rPr>
      </w:pPr>
      <w:r w:rsidRPr="001C1B9B">
        <w:rPr>
          <w:rFonts w:ascii="Arial" w:hAnsi="Arial" w:cs="Arial"/>
          <w:sz w:val="20"/>
          <w:szCs w:val="20"/>
        </w:rPr>
        <w:t xml:space="preserve">Aquí </w:t>
      </w:r>
      <w:r w:rsidR="008444B0" w:rsidRPr="001C1B9B">
        <w:rPr>
          <w:rFonts w:ascii="Arial" w:hAnsi="Arial" w:cs="Arial"/>
          <w:sz w:val="20"/>
          <w:szCs w:val="20"/>
        </w:rPr>
        <w:t>se investigó</w:t>
      </w:r>
      <w:r w:rsidR="00DC75FB" w:rsidRPr="001C1B9B">
        <w:rPr>
          <w:rFonts w:ascii="Arial" w:hAnsi="Arial" w:cs="Arial"/>
          <w:sz w:val="20"/>
          <w:szCs w:val="20"/>
        </w:rPr>
        <w:t xml:space="preserve"> a Daniel Saramaga por haber presuntamente </w:t>
      </w:r>
      <w:r w:rsidR="00D4141C" w:rsidRPr="001C1B9B">
        <w:rPr>
          <w:rFonts w:ascii="Arial" w:hAnsi="Arial" w:cs="Arial"/>
          <w:sz w:val="20"/>
          <w:szCs w:val="20"/>
        </w:rPr>
        <w:t>descendi</w:t>
      </w:r>
      <w:r w:rsidR="00DC75FB" w:rsidRPr="001C1B9B">
        <w:rPr>
          <w:rFonts w:ascii="Arial" w:hAnsi="Arial" w:cs="Arial"/>
          <w:sz w:val="20"/>
          <w:szCs w:val="20"/>
        </w:rPr>
        <w:t xml:space="preserve">do </w:t>
      </w:r>
      <w:r w:rsidR="008444B0" w:rsidRPr="001C1B9B">
        <w:rPr>
          <w:rFonts w:ascii="Arial" w:hAnsi="Arial" w:cs="Arial"/>
          <w:sz w:val="20"/>
          <w:szCs w:val="20"/>
        </w:rPr>
        <w:t xml:space="preserve">en un helicóptero </w:t>
      </w:r>
      <w:r w:rsidR="00DC75FB" w:rsidRPr="001C1B9B">
        <w:rPr>
          <w:rFonts w:ascii="Arial" w:hAnsi="Arial" w:cs="Arial"/>
          <w:sz w:val="20"/>
          <w:szCs w:val="20"/>
        </w:rPr>
        <w:t>en el barrio p</w:t>
      </w:r>
      <w:r w:rsidR="00D4141C" w:rsidRPr="001C1B9B">
        <w:rPr>
          <w:rFonts w:ascii="Arial" w:hAnsi="Arial" w:cs="Arial"/>
          <w:sz w:val="20"/>
          <w:szCs w:val="20"/>
        </w:rPr>
        <w:t>rivado</w:t>
      </w:r>
      <w:r w:rsidR="00DC75FB" w:rsidRPr="001C1B9B">
        <w:rPr>
          <w:rFonts w:ascii="Arial" w:hAnsi="Arial" w:cs="Arial"/>
          <w:sz w:val="20"/>
          <w:szCs w:val="20"/>
        </w:rPr>
        <w:t xml:space="preserve"> </w:t>
      </w:r>
      <w:r w:rsidR="00D4141C" w:rsidRPr="001C1B9B">
        <w:rPr>
          <w:rFonts w:ascii="Arial" w:hAnsi="Arial" w:cs="Arial"/>
          <w:sz w:val="20"/>
          <w:szCs w:val="20"/>
        </w:rPr>
        <w:t>La Herradura</w:t>
      </w:r>
      <w:r w:rsidR="008444B0" w:rsidRPr="001C1B9B">
        <w:rPr>
          <w:rFonts w:ascii="Arial" w:hAnsi="Arial" w:cs="Arial"/>
          <w:sz w:val="20"/>
          <w:szCs w:val="20"/>
        </w:rPr>
        <w:t>,</w:t>
      </w:r>
      <w:r w:rsidR="00D4141C" w:rsidRPr="001C1B9B">
        <w:rPr>
          <w:rFonts w:ascii="Arial" w:hAnsi="Arial" w:cs="Arial"/>
          <w:sz w:val="20"/>
          <w:szCs w:val="20"/>
        </w:rPr>
        <w:t xml:space="preserve"> </w:t>
      </w:r>
      <w:r w:rsidR="008444B0" w:rsidRPr="001C1B9B">
        <w:rPr>
          <w:rFonts w:ascii="Arial" w:hAnsi="Arial" w:cs="Arial"/>
          <w:sz w:val="20"/>
          <w:szCs w:val="20"/>
        </w:rPr>
        <w:t>sito en la localidad de Pinamar</w:t>
      </w:r>
      <w:r w:rsidR="00D4141C" w:rsidRPr="001C1B9B">
        <w:rPr>
          <w:rFonts w:ascii="Arial" w:hAnsi="Arial" w:cs="Arial"/>
          <w:sz w:val="20"/>
          <w:szCs w:val="20"/>
        </w:rPr>
        <w:t xml:space="preserve">, </w:t>
      </w:r>
      <w:r w:rsidR="008444B0" w:rsidRPr="001C1B9B">
        <w:rPr>
          <w:rFonts w:ascii="Arial" w:hAnsi="Arial" w:cs="Arial"/>
          <w:sz w:val="20"/>
          <w:szCs w:val="20"/>
        </w:rPr>
        <w:t>maniobra que</w:t>
      </w:r>
      <w:r w:rsidR="00DC75FB" w:rsidRPr="001C1B9B">
        <w:rPr>
          <w:rFonts w:ascii="Arial" w:hAnsi="Arial" w:cs="Arial"/>
          <w:sz w:val="20"/>
          <w:szCs w:val="20"/>
        </w:rPr>
        <w:t xml:space="preserve"> habría </w:t>
      </w:r>
      <w:r w:rsidR="008444B0" w:rsidRPr="001C1B9B">
        <w:rPr>
          <w:rFonts w:ascii="Arial" w:hAnsi="Arial" w:cs="Arial"/>
          <w:sz w:val="20"/>
          <w:szCs w:val="20"/>
        </w:rPr>
        <w:t xml:space="preserve">efectuado </w:t>
      </w:r>
      <w:r w:rsidR="00D4141C" w:rsidRPr="001C1B9B">
        <w:rPr>
          <w:rFonts w:ascii="Arial" w:hAnsi="Arial" w:cs="Arial"/>
          <w:sz w:val="20"/>
          <w:szCs w:val="20"/>
        </w:rPr>
        <w:t>en la cancha de</w:t>
      </w:r>
      <w:r w:rsidR="00DC75FB" w:rsidRPr="001C1B9B">
        <w:rPr>
          <w:rFonts w:ascii="Arial" w:hAnsi="Arial" w:cs="Arial"/>
          <w:sz w:val="20"/>
          <w:szCs w:val="20"/>
        </w:rPr>
        <w:t xml:space="preserve"> </w:t>
      </w:r>
      <w:r w:rsidR="00D4141C" w:rsidRPr="001C1B9B">
        <w:rPr>
          <w:rFonts w:ascii="Arial" w:hAnsi="Arial" w:cs="Arial"/>
          <w:sz w:val="20"/>
          <w:szCs w:val="20"/>
        </w:rPr>
        <w:t>polo donde se estaba</w:t>
      </w:r>
      <w:r w:rsidR="00DC75FB" w:rsidRPr="001C1B9B">
        <w:rPr>
          <w:rFonts w:ascii="Arial" w:hAnsi="Arial" w:cs="Arial"/>
          <w:sz w:val="20"/>
          <w:szCs w:val="20"/>
        </w:rPr>
        <w:t xml:space="preserve"> </w:t>
      </w:r>
      <w:r w:rsidR="00B4259A" w:rsidRPr="001C1B9B">
        <w:rPr>
          <w:rFonts w:ascii="Arial" w:hAnsi="Arial" w:cs="Arial"/>
          <w:sz w:val="20"/>
          <w:szCs w:val="20"/>
        </w:rPr>
        <w:t>llevando a cabo una a</w:t>
      </w:r>
      <w:r w:rsidR="00D4141C" w:rsidRPr="001C1B9B">
        <w:rPr>
          <w:rFonts w:ascii="Arial" w:hAnsi="Arial" w:cs="Arial"/>
          <w:sz w:val="20"/>
          <w:szCs w:val="20"/>
        </w:rPr>
        <w:t>ctiv</w:t>
      </w:r>
      <w:r w:rsidR="00B4259A" w:rsidRPr="001C1B9B">
        <w:rPr>
          <w:rFonts w:ascii="Arial" w:hAnsi="Arial" w:cs="Arial"/>
          <w:sz w:val="20"/>
          <w:szCs w:val="20"/>
        </w:rPr>
        <w:t>idad deportiva e</w:t>
      </w:r>
      <w:r w:rsidR="00D4141C" w:rsidRPr="001C1B9B">
        <w:rPr>
          <w:rFonts w:ascii="Arial" w:hAnsi="Arial" w:cs="Arial"/>
          <w:sz w:val="20"/>
          <w:szCs w:val="20"/>
        </w:rPr>
        <w:t>quina, circunstancia que</w:t>
      </w:r>
      <w:r w:rsidR="00DC75FB" w:rsidRPr="001C1B9B">
        <w:rPr>
          <w:rFonts w:ascii="Arial" w:hAnsi="Arial" w:cs="Arial"/>
          <w:sz w:val="20"/>
          <w:szCs w:val="20"/>
        </w:rPr>
        <w:t xml:space="preserve"> atemorizó</w:t>
      </w:r>
      <w:r w:rsidR="00D4141C" w:rsidRPr="001C1B9B">
        <w:rPr>
          <w:rFonts w:ascii="Arial" w:hAnsi="Arial" w:cs="Arial"/>
          <w:sz w:val="20"/>
          <w:szCs w:val="20"/>
        </w:rPr>
        <w:t xml:space="preserve"> a los </w:t>
      </w:r>
      <w:r w:rsidR="00B4259A" w:rsidRPr="001C1B9B">
        <w:rPr>
          <w:rFonts w:ascii="Arial" w:hAnsi="Arial" w:cs="Arial"/>
          <w:sz w:val="20"/>
          <w:szCs w:val="20"/>
        </w:rPr>
        <w:t>animales y</w:t>
      </w:r>
      <w:r w:rsidR="00D4141C" w:rsidRPr="001C1B9B">
        <w:rPr>
          <w:rFonts w:ascii="Arial" w:hAnsi="Arial" w:cs="Arial"/>
          <w:sz w:val="20"/>
          <w:szCs w:val="20"/>
        </w:rPr>
        <w:t xml:space="preserve"> familias que estaban en el lugar.</w:t>
      </w:r>
    </w:p>
    <w:p w14:paraId="15F9479A" w14:textId="28BD5E10" w:rsidR="00CF2531" w:rsidRPr="001C1B9B" w:rsidRDefault="00DC75FB" w:rsidP="001C1B9B">
      <w:pPr>
        <w:spacing w:line="360" w:lineRule="auto"/>
        <w:ind w:firstLine="709"/>
        <w:jc w:val="both"/>
        <w:rPr>
          <w:rFonts w:ascii="Arial" w:hAnsi="Arial" w:cs="Arial"/>
          <w:sz w:val="20"/>
          <w:szCs w:val="20"/>
        </w:rPr>
      </w:pPr>
      <w:r w:rsidRPr="001C1B9B">
        <w:rPr>
          <w:rFonts w:ascii="Arial" w:hAnsi="Arial" w:cs="Arial"/>
          <w:sz w:val="20"/>
          <w:szCs w:val="20"/>
        </w:rPr>
        <w:t>E</w:t>
      </w:r>
      <w:r w:rsidR="008444B0" w:rsidRPr="001C1B9B">
        <w:rPr>
          <w:rFonts w:ascii="Arial" w:hAnsi="Arial" w:cs="Arial"/>
          <w:sz w:val="20"/>
          <w:szCs w:val="20"/>
        </w:rPr>
        <w:t>l</w:t>
      </w:r>
      <w:r w:rsidRPr="001C1B9B">
        <w:rPr>
          <w:rFonts w:ascii="Arial" w:hAnsi="Arial" w:cs="Arial"/>
          <w:sz w:val="20"/>
          <w:szCs w:val="20"/>
        </w:rPr>
        <w:t xml:space="preserve"> juez a cargo de la investigación, </w:t>
      </w:r>
      <w:r w:rsidR="00B4259A" w:rsidRPr="001C1B9B">
        <w:rPr>
          <w:rFonts w:ascii="Arial" w:hAnsi="Arial" w:cs="Arial"/>
          <w:sz w:val="20"/>
          <w:szCs w:val="20"/>
        </w:rPr>
        <w:t xml:space="preserve">luego de recibirle indagatoria al imputado </w:t>
      </w:r>
      <w:r w:rsidRPr="001C1B9B">
        <w:rPr>
          <w:rFonts w:ascii="Arial" w:hAnsi="Arial" w:cs="Arial"/>
          <w:sz w:val="20"/>
          <w:szCs w:val="20"/>
        </w:rPr>
        <w:t>resuelve procesar</w:t>
      </w:r>
      <w:r w:rsidR="00B4259A" w:rsidRPr="001C1B9B">
        <w:rPr>
          <w:rFonts w:ascii="Arial" w:hAnsi="Arial" w:cs="Arial"/>
          <w:sz w:val="20"/>
          <w:szCs w:val="20"/>
        </w:rPr>
        <w:t>lo</w:t>
      </w:r>
      <w:r w:rsidRPr="001C1B9B">
        <w:rPr>
          <w:rFonts w:ascii="Arial" w:hAnsi="Arial" w:cs="Arial"/>
          <w:sz w:val="20"/>
          <w:szCs w:val="20"/>
        </w:rPr>
        <w:t xml:space="preserve"> por considerarlo "prima facie" autor penalmente</w:t>
      </w:r>
      <w:r w:rsidR="00CF2531" w:rsidRPr="001C1B9B">
        <w:rPr>
          <w:rFonts w:ascii="Arial" w:hAnsi="Arial" w:cs="Arial"/>
          <w:sz w:val="20"/>
          <w:szCs w:val="20"/>
        </w:rPr>
        <w:t xml:space="preserve"> </w:t>
      </w:r>
      <w:r w:rsidRPr="001C1B9B">
        <w:rPr>
          <w:rFonts w:ascii="Arial" w:hAnsi="Arial" w:cs="Arial"/>
          <w:sz w:val="20"/>
          <w:szCs w:val="20"/>
        </w:rPr>
        <w:t>responsable del delito previsto por el artículo 221 inciso “2” del Código</w:t>
      </w:r>
      <w:r w:rsidR="00CF2531" w:rsidRPr="001C1B9B">
        <w:rPr>
          <w:rFonts w:ascii="Arial" w:hAnsi="Arial" w:cs="Arial"/>
          <w:sz w:val="20"/>
          <w:szCs w:val="20"/>
        </w:rPr>
        <w:t xml:space="preserve"> </w:t>
      </w:r>
      <w:r w:rsidRPr="001C1B9B">
        <w:rPr>
          <w:rFonts w:ascii="Arial" w:hAnsi="Arial" w:cs="Arial"/>
          <w:sz w:val="20"/>
          <w:szCs w:val="20"/>
        </w:rPr>
        <w:t>Aeronáutico</w:t>
      </w:r>
      <w:r w:rsidR="00CF2531" w:rsidRPr="001C1B9B">
        <w:rPr>
          <w:rFonts w:ascii="Arial" w:hAnsi="Arial" w:cs="Arial"/>
          <w:sz w:val="20"/>
          <w:szCs w:val="20"/>
        </w:rPr>
        <w:t>.</w:t>
      </w:r>
    </w:p>
    <w:p w14:paraId="7BA8489C" w14:textId="17931EB6" w:rsidR="004C26C6" w:rsidRPr="001C1B9B" w:rsidRDefault="00CF2531" w:rsidP="001C1B9B">
      <w:pPr>
        <w:spacing w:line="360" w:lineRule="auto"/>
        <w:ind w:firstLine="709"/>
        <w:jc w:val="both"/>
        <w:rPr>
          <w:rFonts w:ascii="Arial" w:hAnsi="Arial" w:cs="Arial"/>
          <w:i/>
          <w:sz w:val="20"/>
          <w:szCs w:val="20"/>
        </w:rPr>
      </w:pPr>
      <w:r w:rsidRPr="001C1B9B">
        <w:rPr>
          <w:rFonts w:ascii="Arial" w:hAnsi="Arial" w:cs="Arial"/>
          <w:sz w:val="20"/>
          <w:szCs w:val="20"/>
        </w:rPr>
        <w:t>La defensa cuestiona esa decisión, y la Cámara Federal de la ciudad de Mar del Plata se aboca</w:t>
      </w:r>
      <w:r w:rsidR="008444B0" w:rsidRPr="001C1B9B">
        <w:rPr>
          <w:rFonts w:ascii="Arial" w:hAnsi="Arial" w:cs="Arial"/>
          <w:sz w:val="20"/>
          <w:szCs w:val="20"/>
        </w:rPr>
        <w:t xml:space="preserve"> al tratamiento del caso. En es</w:t>
      </w:r>
      <w:r w:rsidRPr="001C1B9B">
        <w:rPr>
          <w:rFonts w:ascii="Arial" w:hAnsi="Arial" w:cs="Arial"/>
          <w:sz w:val="20"/>
          <w:szCs w:val="20"/>
        </w:rPr>
        <w:t>a oportunidad</w:t>
      </w:r>
      <w:r w:rsidR="008444B0" w:rsidRPr="001C1B9B">
        <w:rPr>
          <w:rFonts w:ascii="Arial" w:hAnsi="Arial" w:cs="Arial"/>
          <w:sz w:val="20"/>
          <w:szCs w:val="20"/>
        </w:rPr>
        <w:t>,</w:t>
      </w:r>
      <w:r w:rsidRPr="001C1B9B">
        <w:rPr>
          <w:rFonts w:ascii="Arial" w:hAnsi="Arial" w:cs="Arial"/>
          <w:sz w:val="20"/>
          <w:szCs w:val="20"/>
        </w:rPr>
        <w:t xml:space="preserve"> los magistrados a cargo del cuerpo realizan un estudio pormenorizado de la normativa vigente y </w:t>
      </w:r>
      <w:r w:rsidR="007501FE" w:rsidRPr="001C1B9B">
        <w:rPr>
          <w:rFonts w:ascii="Arial" w:hAnsi="Arial" w:cs="Arial"/>
          <w:sz w:val="20"/>
          <w:szCs w:val="20"/>
        </w:rPr>
        <w:t>concluyen que “…</w:t>
      </w:r>
      <w:r w:rsidR="004C26C6" w:rsidRPr="001C1B9B">
        <w:rPr>
          <w:rFonts w:ascii="Arial" w:hAnsi="Arial" w:cs="Arial"/>
          <w:i/>
          <w:sz w:val="20"/>
          <w:szCs w:val="20"/>
        </w:rPr>
        <w:t xml:space="preserve">la legislación punitiva consagrada por el Código Aeronáutico (Ley 17.285) no se encuentra vigente en razón a la derogación exclusivamente punitiva que instaurara la ley 20.509/74, y que tampoco puede afirmarse la vigencia </w:t>
      </w:r>
      <w:r w:rsidR="004C26C6" w:rsidRPr="001C1B9B">
        <w:rPr>
          <w:rFonts w:ascii="Arial" w:hAnsi="Arial" w:cs="Arial"/>
          <w:i/>
          <w:sz w:val="20"/>
          <w:szCs w:val="20"/>
        </w:rPr>
        <w:lastRenderedPageBreak/>
        <w:t>de la ley 14.307/54, dado que la misma fue totalmente derogada por el art. 235 de la ley 17.285 que se encuentra vigente en razón a no haber sido abrogado dicho articulado en los términos de la ley democrática dado que no contempla un delito o pena por delito y en tal sentido no es alcanzado por la previsión de la ley 20.509, solo y únicamente a ello referido.</w:t>
      </w:r>
    </w:p>
    <w:p w14:paraId="4809D865" w14:textId="4EE8234A" w:rsidR="00CF2531" w:rsidRPr="001C1B9B" w:rsidRDefault="004C26C6" w:rsidP="001C1B9B">
      <w:pPr>
        <w:spacing w:line="360" w:lineRule="auto"/>
        <w:ind w:firstLine="709"/>
        <w:jc w:val="both"/>
        <w:rPr>
          <w:rFonts w:ascii="Arial" w:hAnsi="Arial" w:cs="Arial"/>
          <w:sz w:val="20"/>
          <w:szCs w:val="20"/>
        </w:rPr>
      </w:pPr>
      <w:r w:rsidRPr="001C1B9B">
        <w:rPr>
          <w:rFonts w:ascii="Arial" w:hAnsi="Arial" w:cs="Arial"/>
          <w:i/>
          <w:sz w:val="20"/>
          <w:szCs w:val="20"/>
        </w:rPr>
        <w:t>Por tanto, el hecho que motiva el análisis de este Tribunal debe formularse atendiendo con exclusividad a la única normativa que podría ser aplicable a la situación fáctica traída a estudio, y que encuentra su ámbito de aplicación en la norma del art. 190 del Códi</w:t>
      </w:r>
      <w:r w:rsidR="00766BE5" w:rsidRPr="001C1B9B">
        <w:rPr>
          <w:rFonts w:ascii="Arial" w:hAnsi="Arial" w:cs="Arial"/>
          <w:i/>
          <w:sz w:val="20"/>
          <w:szCs w:val="20"/>
        </w:rPr>
        <w:t>go Penal de la Nación Argentina</w:t>
      </w:r>
      <w:r w:rsidR="00CF2531" w:rsidRPr="001C1B9B">
        <w:rPr>
          <w:rFonts w:ascii="Arial" w:hAnsi="Arial" w:cs="Arial"/>
          <w:i/>
          <w:sz w:val="20"/>
          <w:szCs w:val="20"/>
        </w:rPr>
        <w:t xml:space="preserve">…” </w:t>
      </w:r>
      <w:r w:rsidR="00CF2531" w:rsidRPr="001C1B9B">
        <w:rPr>
          <w:rFonts w:ascii="Arial" w:hAnsi="Arial" w:cs="Arial"/>
          <w:sz w:val="20"/>
          <w:szCs w:val="20"/>
        </w:rPr>
        <w:t xml:space="preserve">(sic, ver res. de fecha </w:t>
      </w:r>
      <w:bookmarkStart w:id="2" w:name="_Hlk198884948"/>
      <w:r w:rsidR="00CF2531" w:rsidRPr="001C1B9B">
        <w:rPr>
          <w:rFonts w:ascii="Arial" w:hAnsi="Arial" w:cs="Arial"/>
          <w:sz w:val="20"/>
          <w:szCs w:val="20"/>
        </w:rPr>
        <w:t>30/11/2023</w:t>
      </w:r>
      <w:bookmarkEnd w:id="2"/>
      <w:r w:rsidR="00A950A9" w:rsidRPr="001C1B9B">
        <w:rPr>
          <w:rFonts w:ascii="Arial" w:hAnsi="Arial" w:cs="Arial"/>
          <w:sz w:val="20"/>
          <w:szCs w:val="20"/>
        </w:rPr>
        <w:t>)</w:t>
      </w:r>
      <w:r w:rsidR="00A950A9" w:rsidRPr="001C1B9B">
        <w:rPr>
          <w:rFonts w:ascii="Arial" w:hAnsi="Arial" w:cs="Arial"/>
          <w:b/>
          <w:sz w:val="20"/>
          <w:szCs w:val="20"/>
        </w:rPr>
        <w:t>.</w:t>
      </w:r>
    </w:p>
    <w:p w14:paraId="5EC673B2" w14:textId="0AF8A5AD" w:rsidR="00A950A9" w:rsidRPr="001C1B9B" w:rsidRDefault="00521A93" w:rsidP="001C1B9B">
      <w:pPr>
        <w:spacing w:line="360" w:lineRule="auto"/>
        <w:jc w:val="both"/>
        <w:rPr>
          <w:rFonts w:ascii="Arial" w:hAnsi="Arial" w:cs="Arial"/>
          <w:sz w:val="20"/>
          <w:szCs w:val="20"/>
          <w:lang w:val="es-ES"/>
        </w:rPr>
      </w:pPr>
      <w:r w:rsidRPr="001C1B9B">
        <w:rPr>
          <w:rFonts w:ascii="Arial" w:hAnsi="Arial" w:cs="Arial"/>
          <w:sz w:val="20"/>
          <w:szCs w:val="20"/>
          <w:lang w:val="es-ES"/>
        </w:rPr>
        <w:tab/>
        <w:t xml:space="preserve">Como vemos aquí, los jueces del mencionado órgano </w:t>
      </w:r>
      <w:r w:rsidR="00C77333" w:rsidRPr="001C1B9B">
        <w:rPr>
          <w:rFonts w:ascii="Arial" w:hAnsi="Arial" w:cs="Arial"/>
          <w:sz w:val="20"/>
          <w:szCs w:val="20"/>
          <w:lang w:val="es-ES"/>
        </w:rPr>
        <w:t>les</w:t>
      </w:r>
      <w:r w:rsidR="00766BE5" w:rsidRPr="001C1B9B">
        <w:rPr>
          <w:rFonts w:ascii="Arial" w:hAnsi="Arial" w:cs="Arial"/>
          <w:sz w:val="20"/>
          <w:szCs w:val="20"/>
          <w:lang w:val="es-ES"/>
        </w:rPr>
        <w:t xml:space="preserve"> quitan entidad punitiva a todas las conductas señaladas en las leyes especiales instadas al efecto, brindándole fuerza de ley solo a las previsiones analizadas y desarrolladas en el </w:t>
      </w:r>
      <w:r w:rsidR="00575EB7" w:rsidRPr="001C1B9B">
        <w:rPr>
          <w:rFonts w:ascii="Arial" w:hAnsi="Arial" w:cs="Arial"/>
          <w:sz w:val="20"/>
          <w:szCs w:val="20"/>
          <w:lang w:val="es-ES"/>
        </w:rPr>
        <w:t>C</w:t>
      </w:r>
      <w:r w:rsidR="00766BE5" w:rsidRPr="001C1B9B">
        <w:rPr>
          <w:rFonts w:ascii="Arial" w:hAnsi="Arial" w:cs="Arial"/>
          <w:sz w:val="20"/>
          <w:szCs w:val="20"/>
          <w:lang w:val="es-ES"/>
        </w:rPr>
        <w:t xml:space="preserve">ódigo </w:t>
      </w:r>
      <w:r w:rsidR="00575EB7" w:rsidRPr="001C1B9B">
        <w:rPr>
          <w:rFonts w:ascii="Arial" w:hAnsi="Arial" w:cs="Arial"/>
          <w:sz w:val="20"/>
          <w:szCs w:val="20"/>
          <w:lang w:val="es-ES"/>
        </w:rPr>
        <w:t>Penal A</w:t>
      </w:r>
      <w:r w:rsidR="00211574" w:rsidRPr="001C1B9B">
        <w:rPr>
          <w:rFonts w:ascii="Arial" w:hAnsi="Arial" w:cs="Arial"/>
          <w:sz w:val="20"/>
          <w:szCs w:val="20"/>
          <w:lang w:val="es-ES"/>
        </w:rPr>
        <w:t>rgentino</w:t>
      </w:r>
      <w:r w:rsidR="00DA525D" w:rsidRPr="001C1B9B">
        <w:rPr>
          <w:rFonts w:ascii="Arial" w:hAnsi="Arial" w:cs="Arial"/>
          <w:sz w:val="20"/>
          <w:szCs w:val="20"/>
          <w:lang w:val="es-ES"/>
        </w:rPr>
        <w:t xml:space="preserve"> al efecto.</w:t>
      </w:r>
    </w:p>
    <w:p w14:paraId="1F50592A" w14:textId="1F76D88E" w:rsidR="00DB3FB4" w:rsidRPr="001C1B9B" w:rsidRDefault="00DB3FB4" w:rsidP="001C1B9B">
      <w:pPr>
        <w:spacing w:line="360" w:lineRule="auto"/>
        <w:ind w:firstLine="709"/>
        <w:jc w:val="both"/>
        <w:rPr>
          <w:rFonts w:ascii="Arial" w:hAnsi="Arial" w:cs="Arial"/>
          <w:b/>
          <w:sz w:val="20"/>
          <w:szCs w:val="20"/>
        </w:rPr>
      </w:pPr>
      <w:r w:rsidRPr="001C1B9B">
        <w:rPr>
          <w:rFonts w:ascii="Arial" w:hAnsi="Arial" w:cs="Arial"/>
          <w:b/>
          <w:sz w:val="20"/>
          <w:szCs w:val="20"/>
          <w:lang w:val="es-ES"/>
        </w:rPr>
        <w:t>c) Cas</w:t>
      </w:r>
      <w:r w:rsidR="00D855EC" w:rsidRPr="001C1B9B">
        <w:rPr>
          <w:rFonts w:ascii="Arial" w:hAnsi="Arial" w:cs="Arial"/>
          <w:b/>
          <w:sz w:val="20"/>
          <w:szCs w:val="20"/>
          <w:lang w:val="es-ES"/>
        </w:rPr>
        <w:t>o</w:t>
      </w:r>
      <w:r w:rsidRPr="001C1B9B">
        <w:rPr>
          <w:rFonts w:ascii="Arial" w:hAnsi="Arial" w:cs="Arial"/>
          <w:b/>
          <w:sz w:val="20"/>
          <w:szCs w:val="20"/>
          <w:lang w:val="es-ES"/>
        </w:rPr>
        <w:t xml:space="preserve"> </w:t>
      </w:r>
      <w:r w:rsidRPr="001C1B9B">
        <w:rPr>
          <w:rFonts w:ascii="Arial" w:hAnsi="Arial" w:cs="Arial"/>
          <w:b/>
          <w:bCs/>
          <w:sz w:val="20"/>
          <w:szCs w:val="20"/>
        </w:rPr>
        <w:t>“Fernández”</w:t>
      </w:r>
      <w:r w:rsidR="00D52C41" w:rsidRPr="001C1B9B">
        <w:rPr>
          <w:rStyle w:val="Refdenotaalpie"/>
          <w:rFonts w:ascii="Arial" w:hAnsi="Arial" w:cs="Arial"/>
          <w:bCs/>
          <w:sz w:val="20"/>
          <w:szCs w:val="20"/>
        </w:rPr>
        <w:footnoteReference w:id="4"/>
      </w:r>
      <w:r w:rsidRPr="001C1B9B">
        <w:rPr>
          <w:rFonts w:ascii="Arial" w:hAnsi="Arial" w:cs="Arial"/>
          <w:b/>
          <w:sz w:val="20"/>
          <w:szCs w:val="20"/>
        </w:rPr>
        <w:t>.</w:t>
      </w:r>
    </w:p>
    <w:p w14:paraId="7DE6E063" w14:textId="3D7317C8" w:rsidR="0098525B" w:rsidRPr="001C1B9B" w:rsidRDefault="004C26C6" w:rsidP="001C1B9B">
      <w:pPr>
        <w:spacing w:line="360" w:lineRule="auto"/>
        <w:jc w:val="both"/>
        <w:rPr>
          <w:rFonts w:ascii="Arial" w:hAnsi="Arial" w:cs="Arial"/>
          <w:iCs/>
          <w:sz w:val="20"/>
          <w:szCs w:val="20"/>
        </w:rPr>
      </w:pPr>
      <w:r w:rsidRPr="001C1B9B">
        <w:rPr>
          <w:rFonts w:ascii="Arial" w:hAnsi="Arial" w:cs="Arial"/>
          <w:sz w:val="20"/>
          <w:szCs w:val="20"/>
          <w:lang w:val="es-ES"/>
        </w:rPr>
        <w:tab/>
      </w:r>
      <w:r w:rsidR="00DB3FB4" w:rsidRPr="001C1B9B">
        <w:rPr>
          <w:rFonts w:ascii="Arial" w:hAnsi="Arial" w:cs="Arial"/>
          <w:sz w:val="20"/>
          <w:szCs w:val="20"/>
        </w:rPr>
        <w:t xml:space="preserve">En esta investigación se sigue a </w:t>
      </w:r>
      <w:r w:rsidR="00766BE5" w:rsidRPr="001C1B9B">
        <w:rPr>
          <w:rFonts w:ascii="Arial" w:hAnsi="Arial" w:cs="Arial"/>
          <w:sz w:val="20"/>
          <w:szCs w:val="20"/>
        </w:rPr>
        <w:t>Santiago Fernández</w:t>
      </w:r>
      <w:r w:rsidR="0098525B" w:rsidRPr="001C1B9B">
        <w:rPr>
          <w:rFonts w:ascii="Arial" w:hAnsi="Arial" w:cs="Arial"/>
          <w:sz w:val="20"/>
          <w:szCs w:val="20"/>
        </w:rPr>
        <w:t xml:space="preserve"> por </w:t>
      </w:r>
      <w:r w:rsidR="00DB3FB4" w:rsidRPr="001C1B9B">
        <w:rPr>
          <w:rFonts w:ascii="Arial" w:hAnsi="Arial" w:cs="Arial"/>
          <w:iCs/>
          <w:sz w:val="20"/>
          <w:szCs w:val="20"/>
        </w:rPr>
        <w:t>poseer dos aeronaves sujetas a explotación aérea de propaganda sonora, uti</w:t>
      </w:r>
      <w:r w:rsidR="0098525B" w:rsidRPr="001C1B9B">
        <w:rPr>
          <w:rFonts w:ascii="Arial" w:hAnsi="Arial" w:cs="Arial"/>
          <w:iCs/>
          <w:sz w:val="20"/>
          <w:szCs w:val="20"/>
        </w:rPr>
        <w:t>lizando ambas el mismo dominio</w:t>
      </w:r>
      <w:r w:rsidR="00DB3FB4" w:rsidRPr="001C1B9B">
        <w:rPr>
          <w:rFonts w:ascii="Arial" w:hAnsi="Arial" w:cs="Arial"/>
          <w:iCs/>
          <w:sz w:val="20"/>
          <w:szCs w:val="20"/>
        </w:rPr>
        <w:t xml:space="preserve"> e igual documentación en copias</w:t>
      </w:r>
      <w:r w:rsidR="0098525B" w:rsidRPr="001C1B9B">
        <w:rPr>
          <w:rFonts w:ascii="Arial" w:hAnsi="Arial" w:cs="Arial"/>
          <w:iCs/>
          <w:sz w:val="20"/>
          <w:szCs w:val="20"/>
        </w:rPr>
        <w:t>,</w:t>
      </w:r>
      <w:r w:rsidR="00DB3FB4" w:rsidRPr="001C1B9B">
        <w:rPr>
          <w:rFonts w:ascii="Arial" w:hAnsi="Arial" w:cs="Arial"/>
          <w:iCs/>
          <w:sz w:val="20"/>
          <w:szCs w:val="20"/>
        </w:rPr>
        <w:t xml:space="preserve"> detectándose el día 24 de marzo de 2018 que una de las aeronaves circulaba de manera fraudulenta y navegando con la marca de matriculación de la otra aeronave adulterada. De ello se tomó conocimiento porque una de las naves</w:t>
      </w:r>
      <w:r w:rsidR="0098525B" w:rsidRPr="001C1B9B">
        <w:rPr>
          <w:rFonts w:ascii="Arial" w:hAnsi="Arial" w:cs="Arial"/>
          <w:iCs/>
          <w:sz w:val="20"/>
          <w:szCs w:val="20"/>
        </w:rPr>
        <w:t xml:space="preserve"> tuvo un accidente al incrustarse contra el portón de ingreso al hangar en la Terminal de Cargas de Fuerza Aérea siendo su piloto Daniel Eduardo Carbonell.</w:t>
      </w:r>
    </w:p>
    <w:p w14:paraId="3B62F6DB" w14:textId="3C8DA9A6" w:rsidR="0098525B" w:rsidRPr="001C1B9B" w:rsidRDefault="0098525B" w:rsidP="001C1B9B">
      <w:pPr>
        <w:spacing w:line="360" w:lineRule="auto"/>
        <w:ind w:firstLine="708"/>
        <w:jc w:val="both"/>
        <w:rPr>
          <w:rFonts w:ascii="Arial" w:hAnsi="Arial" w:cs="Arial"/>
          <w:sz w:val="20"/>
          <w:szCs w:val="20"/>
        </w:rPr>
      </w:pPr>
      <w:r w:rsidRPr="001C1B9B">
        <w:rPr>
          <w:rFonts w:ascii="Arial" w:hAnsi="Arial" w:cs="Arial"/>
          <w:iCs/>
          <w:sz w:val="20"/>
          <w:szCs w:val="20"/>
        </w:rPr>
        <w:t xml:space="preserve">Luego de este suceso, se informa a las autoridades aeronáuticas de Comodoro Rivadavia que en la provincia de Mendoza había otro avión con idéntico modelo y matricula, el cual </w:t>
      </w:r>
      <w:r w:rsidR="00A757E5" w:rsidRPr="001C1B9B">
        <w:rPr>
          <w:rFonts w:ascii="Arial" w:hAnsi="Arial" w:cs="Arial"/>
          <w:iCs/>
          <w:sz w:val="20"/>
          <w:szCs w:val="20"/>
        </w:rPr>
        <w:t>pertenecía</w:t>
      </w:r>
      <w:r w:rsidRPr="001C1B9B">
        <w:rPr>
          <w:rFonts w:ascii="Arial" w:hAnsi="Arial" w:cs="Arial"/>
          <w:iCs/>
          <w:sz w:val="20"/>
          <w:szCs w:val="20"/>
        </w:rPr>
        <w:t xml:space="preserve"> también al imputado.</w:t>
      </w:r>
      <w:r w:rsidR="008444B0" w:rsidRPr="001C1B9B">
        <w:rPr>
          <w:rFonts w:ascii="Arial" w:hAnsi="Arial" w:cs="Arial"/>
          <w:iCs/>
          <w:sz w:val="20"/>
          <w:szCs w:val="20"/>
        </w:rPr>
        <w:t xml:space="preserve"> </w:t>
      </w:r>
      <w:r w:rsidRPr="001C1B9B">
        <w:rPr>
          <w:rFonts w:ascii="Arial" w:hAnsi="Arial" w:cs="Arial"/>
          <w:iCs/>
          <w:sz w:val="20"/>
          <w:szCs w:val="20"/>
        </w:rPr>
        <w:t xml:space="preserve">A raíz de ese suceso, </w:t>
      </w:r>
      <w:r w:rsidR="00DB3FB4" w:rsidRPr="001C1B9B">
        <w:rPr>
          <w:rFonts w:ascii="Arial" w:hAnsi="Arial" w:cs="Arial"/>
          <w:sz w:val="20"/>
          <w:szCs w:val="20"/>
        </w:rPr>
        <w:t>Santiago Fernández fue procesado -respecto al hecho acaecido en fecha 24 de marzo de 2018</w:t>
      </w:r>
      <w:r w:rsidR="008444B0" w:rsidRPr="001C1B9B">
        <w:rPr>
          <w:rFonts w:ascii="Arial" w:hAnsi="Arial" w:cs="Arial"/>
          <w:sz w:val="20"/>
          <w:szCs w:val="20"/>
        </w:rPr>
        <w:t>-</w:t>
      </w:r>
      <w:r w:rsidR="00DB3FB4" w:rsidRPr="001C1B9B">
        <w:rPr>
          <w:rFonts w:ascii="Arial" w:hAnsi="Arial" w:cs="Arial"/>
          <w:sz w:val="20"/>
          <w:szCs w:val="20"/>
        </w:rPr>
        <w:t xml:space="preserve"> como presunto autor del delito previsto por el artículo 219, inciso 4° y anteúltimo párrafo del Código Aeronáutico (ley 17.825)</w:t>
      </w:r>
      <w:r w:rsidRPr="001C1B9B">
        <w:rPr>
          <w:rFonts w:ascii="Arial" w:hAnsi="Arial" w:cs="Arial"/>
          <w:sz w:val="20"/>
          <w:szCs w:val="20"/>
        </w:rPr>
        <w:t xml:space="preserve">, siendo que esa decisión fue recurrida por la defensa y confirmada </w:t>
      </w:r>
      <w:r w:rsidR="008444B0" w:rsidRPr="001C1B9B">
        <w:rPr>
          <w:rFonts w:ascii="Arial" w:hAnsi="Arial" w:cs="Arial"/>
          <w:sz w:val="20"/>
          <w:szCs w:val="20"/>
        </w:rPr>
        <w:t xml:space="preserve">posteriormente </w:t>
      </w:r>
      <w:r w:rsidRPr="001C1B9B">
        <w:rPr>
          <w:rFonts w:ascii="Arial" w:hAnsi="Arial" w:cs="Arial"/>
          <w:sz w:val="20"/>
          <w:szCs w:val="20"/>
        </w:rPr>
        <w:t>por la Cámara Federal de Comodoro Rivadavia</w:t>
      </w:r>
      <w:r w:rsidR="00DB3FB4" w:rsidRPr="001C1B9B">
        <w:rPr>
          <w:rFonts w:ascii="Arial" w:hAnsi="Arial" w:cs="Arial"/>
          <w:sz w:val="20"/>
          <w:szCs w:val="20"/>
        </w:rPr>
        <w:t>.</w:t>
      </w:r>
    </w:p>
    <w:p w14:paraId="1DE89D01" w14:textId="77777777" w:rsidR="008444B0" w:rsidRPr="001C1B9B" w:rsidRDefault="008444B0" w:rsidP="001C1B9B">
      <w:pPr>
        <w:spacing w:line="360" w:lineRule="auto"/>
        <w:ind w:firstLine="708"/>
        <w:jc w:val="both"/>
        <w:rPr>
          <w:rFonts w:ascii="Arial" w:hAnsi="Arial" w:cs="Arial"/>
          <w:sz w:val="20"/>
          <w:szCs w:val="20"/>
        </w:rPr>
      </w:pPr>
      <w:r w:rsidRPr="001C1B9B">
        <w:rPr>
          <w:rFonts w:ascii="Arial" w:hAnsi="Arial" w:cs="Arial"/>
          <w:sz w:val="20"/>
          <w:szCs w:val="20"/>
        </w:rPr>
        <w:t>Más adelante</w:t>
      </w:r>
      <w:r w:rsidR="00A757E5" w:rsidRPr="001C1B9B">
        <w:rPr>
          <w:rFonts w:ascii="Arial" w:hAnsi="Arial" w:cs="Arial"/>
          <w:sz w:val="20"/>
          <w:szCs w:val="20"/>
        </w:rPr>
        <w:t xml:space="preserve">, </w:t>
      </w:r>
      <w:r w:rsidR="008D7CD6" w:rsidRPr="001C1B9B">
        <w:rPr>
          <w:rFonts w:ascii="Arial" w:hAnsi="Arial" w:cs="Arial"/>
          <w:sz w:val="20"/>
          <w:szCs w:val="20"/>
        </w:rPr>
        <w:t>Fernández</w:t>
      </w:r>
      <w:r w:rsidR="00A757E5" w:rsidRPr="001C1B9B">
        <w:rPr>
          <w:rFonts w:ascii="Arial" w:hAnsi="Arial" w:cs="Arial"/>
          <w:sz w:val="20"/>
          <w:szCs w:val="20"/>
        </w:rPr>
        <w:t xml:space="preserve"> también fue procesado como presunto autor del delito previsto por el artículo 219, párrafo 4° del Código Aeronáutico (ley 17.825) respecto al hecho acontecido en el </w:t>
      </w:r>
      <w:r w:rsidR="00DB3FB4" w:rsidRPr="001C1B9B">
        <w:rPr>
          <w:rFonts w:ascii="Arial" w:hAnsi="Arial" w:cs="Arial"/>
          <w:sz w:val="20"/>
          <w:szCs w:val="20"/>
        </w:rPr>
        <w:t xml:space="preserve">aeródromo </w:t>
      </w:r>
      <w:r w:rsidR="00A757E5" w:rsidRPr="001C1B9B">
        <w:rPr>
          <w:rFonts w:ascii="Arial" w:hAnsi="Arial" w:cs="Arial"/>
          <w:sz w:val="20"/>
          <w:szCs w:val="20"/>
        </w:rPr>
        <w:t xml:space="preserve">de la </w:t>
      </w:r>
      <w:r w:rsidR="00DB3FB4" w:rsidRPr="001C1B9B">
        <w:rPr>
          <w:rFonts w:ascii="Arial" w:hAnsi="Arial" w:cs="Arial"/>
          <w:sz w:val="20"/>
          <w:szCs w:val="20"/>
        </w:rPr>
        <w:t>provincia de Mendoza, decisión que también quedó firme.</w:t>
      </w:r>
      <w:r w:rsidRPr="001C1B9B">
        <w:rPr>
          <w:rFonts w:ascii="Arial" w:hAnsi="Arial" w:cs="Arial"/>
          <w:sz w:val="20"/>
          <w:szCs w:val="20"/>
        </w:rPr>
        <w:t xml:space="preserve"> </w:t>
      </w:r>
      <w:r w:rsidR="00A757E5" w:rsidRPr="001C1B9B">
        <w:rPr>
          <w:rFonts w:ascii="Arial" w:hAnsi="Arial" w:cs="Arial"/>
          <w:sz w:val="20"/>
          <w:szCs w:val="20"/>
        </w:rPr>
        <w:t>A</w:t>
      </w:r>
      <w:r w:rsidR="008D7CD6" w:rsidRPr="001C1B9B">
        <w:rPr>
          <w:rFonts w:ascii="Arial" w:hAnsi="Arial" w:cs="Arial"/>
          <w:sz w:val="20"/>
          <w:szCs w:val="20"/>
        </w:rPr>
        <w:t xml:space="preserve">vanzada la investigación, </w:t>
      </w:r>
      <w:r w:rsidR="00DB3FB4" w:rsidRPr="001C1B9B">
        <w:rPr>
          <w:rFonts w:ascii="Arial" w:hAnsi="Arial" w:cs="Arial"/>
          <w:sz w:val="20"/>
          <w:szCs w:val="20"/>
        </w:rPr>
        <w:t xml:space="preserve">el Ministerio Público Fiscal requirió la elevación de la causa a juicio y calificó la conducta como constitutiva de la figura típica prevista por el artículo 219, incisos 1° y 4°, agravado por el anteúltimo párrafo, del Código Aeronáutico, en concurso ideal con el artículo 219, inciso 4°, </w:t>
      </w:r>
      <w:r w:rsidR="00DB3FB4" w:rsidRPr="001C1B9B">
        <w:rPr>
          <w:rFonts w:ascii="Arial" w:hAnsi="Arial" w:cs="Arial"/>
          <w:sz w:val="20"/>
          <w:szCs w:val="20"/>
        </w:rPr>
        <w:lastRenderedPageBreak/>
        <w:t>del Código Aeronáutico, por el segundo hecho -adulteración de dominio- en carácter de autor, en grado consumado</w:t>
      </w:r>
      <w:r w:rsidR="00A757E5" w:rsidRPr="001C1B9B">
        <w:rPr>
          <w:rFonts w:ascii="Arial" w:hAnsi="Arial" w:cs="Arial"/>
          <w:sz w:val="20"/>
          <w:szCs w:val="20"/>
        </w:rPr>
        <w:t>.</w:t>
      </w:r>
    </w:p>
    <w:p w14:paraId="395F8678" w14:textId="00FABF2B" w:rsidR="00DB3FB4" w:rsidRPr="001C1B9B" w:rsidRDefault="008444B0" w:rsidP="001C1B9B">
      <w:pPr>
        <w:spacing w:line="360" w:lineRule="auto"/>
        <w:ind w:firstLine="708"/>
        <w:jc w:val="both"/>
        <w:rPr>
          <w:rFonts w:ascii="Arial" w:hAnsi="Arial" w:cs="Arial"/>
          <w:sz w:val="20"/>
          <w:szCs w:val="20"/>
        </w:rPr>
      </w:pPr>
      <w:r w:rsidRPr="001C1B9B">
        <w:rPr>
          <w:rFonts w:ascii="Arial" w:hAnsi="Arial" w:cs="Arial"/>
          <w:sz w:val="20"/>
          <w:szCs w:val="20"/>
        </w:rPr>
        <w:t>Con el devenir del proceso, el caso llegó</w:t>
      </w:r>
      <w:r w:rsidR="008D7CD6" w:rsidRPr="001C1B9B">
        <w:rPr>
          <w:rFonts w:ascii="Arial" w:hAnsi="Arial" w:cs="Arial"/>
          <w:sz w:val="20"/>
          <w:szCs w:val="20"/>
        </w:rPr>
        <w:t xml:space="preserve"> a conocimiento de la Cámara Federal de Casación Penal, a raíz del rechazo que el juez efectuó al planteo de </w:t>
      </w:r>
      <w:r w:rsidRPr="001C1B9B">
        <w:rPr>
          <w:rFonts w:ascii="Arial" w:hAnsi="Arial" w:cs="Arial"/>
          <w:sz w:val="20"/>
          <w:szCs w:val="20"/>
        </w:rPr>
        <w:t xml:space="preserve">la suspensión de juicio </w:t>
      </w:r>
      <w:r w:rsidR="00DB3FB4" w:rsidRPr="001C1B9B">
        <w:rPr>
          <w:rFonts w:ascii="Arial" w:hAnsi="Arial" w:cs="Arial"/>
          <w:sz w:val="20"/>
          <w:szCs w:val="20"/>
        </w:rPr>
        <w:t>a prueba.</w:t>
      </w:r>
    </w:p>
    <w:p w14:paraId="782CD7A6" w14:textId="1B6D873C" w:rsidR="00F87984" w:rsidRPr="001C1B9B" w:rsidRDefault="00F87984" w:rsidP="001C1B9B">
      <w:pPr>
        <w:spacing w:line="360" w:lineRule="auto"/>
        <w:ind w:firstLine="708"/>
        <w:jc w:val="both"/>
        <w:rPr>
          <w:rFonts w:ascii="Arial" w:hAnsi="Arial" w:cs="Arial"/>
          <w:sz w:val="20"/>
          <w:szCs w:val="20"/>
        </w:rPr>
      </w:pPr>
      <w:r w:rsidRPr="001C1B9B">
        <w:rPr>
          <w:rFonts w:ascii="Arial" w:hAnsi="Arial" w:cs="Arial"/>
          <w:sz w:val="20"/>
          <w:szCs w:val="20"/>
        </w:rPr>
        <w:t xml:space="preserve">En su resolución, el Dr. </w:t>
      </w:r>
      <w:r w:rsidR="0098525B" w:rsidRPr="001C1B9B">
        <w:rPr>
          <w:rFonts w:ascii="Arial" w:hAnsi="Arial" w:cs="Arial"/>
          <w:iCs/>
          <w:sz w:val="20"/>
          <w:szCs w:val="20"/>
        </w:rPr>
        <w:t>M</w:t>
      </w:r>
      <w:r w:rsidRPr="001C1B9B">
        <w:rPr>
          <w:rFonts w:ascii="Arial" w:hAnsi="Arial" w:cs="Arial"/>
          <w:iCs/>
          <w:sz w:val="20"/>
          <w:szCs w:val="20"/>
        </w:rPr>
        <w:t>ariano Hernán Borinsky</w:t>
      </w:r>
      <w:r w:rsidR="0098525B" w:rsidRPr="001C1B9B">
        <w:rPr>
          <w:rFonts w:ascii="Arial" w:hAnsi="Arial" w:cs="Arial"/>
          <w:iCs/>
          <w:sz w:val="20"/>
          <w:szCs w:val="20"/>
        </w:rPr>
        <w:t>, J</w:t>
      </w:r>
      <w:r w:rsidRPr="001C1B9B">
        <w:rPr>
          <w:rFonts w:ascii="Arial" w:hAnsi="Arial" w:cs="Arial"/>
          <w:iCs/>
          <w:sz w:val="20"/>
          <w:szCs w:val="20"/>
        </w:rPr>
        <w:t xml:space="preserve">uez de la Sala IV, desestima el </w:t>
      </w:r>
      <w:r w:rsidR="008444B0" w:rsidRPr="001C1B9B">
        <w:rPr>
          <w:rFonts w:ascii="Arial" w:hAnsi="Arial" w:cs="Arial"/>
          <w:iCs/>
          <w:sz w:val="20"/>
          <w:szCs w:val="20"/>
        </w:rPr>
        <w:t xml:space="preserve">pedido </w:t>
      </w:r>
      <w:r w:rsidRPr="001C1B9B">
        <w:rPr>
          <w:rFonts w:ascii="Arial" w:hAnsi="Arial" w:cs="Arial"/>
          <w:iCs/>
          <w:sz w:val="20"/>
          <w:szCs w:val="20"/>
        </w:rPr>
        <w:t>señalando que la crítica realizada contra la calificación legal debe ser desestimada, pues</w:t>
      </w:r>
      <w:r w:rsidRPr="001C1B9B">
        <w:rPr>
          <w:rFonts w:ascii="Arial" w:hAnsi="Arial" w:cs="Arial"/>
          <w:i/>
          <w:iCs/>
          <w:sz w:val="20"/>
          <w:szCs w:val="20"/>
        </w:rPr>
        <w:t xml:space="preserve"> “…</w:t>
      </w:r>
      <w:r w:rsidRPr="001C1B9B">
        <w:rPr>
          <w:rFonts w:ascii="Arial" w:hAnsi="Arial" w:cs="Arial"/>
          <w:i/>
          <w:sz w:val="20"/>
          <w:szCs w:val="20"/>
        </w:rPr>
        <w:t xml:space="preserve">el recurrente no consigue demostrar los vicios jurídicos que invoca y se limita a manifestar una discrepancia con la decisión del caso que, </w:t>
      </w:r>
      <w:r w:rsidRPr="001C1B9B">
        <w:rPr>
          <w:rFonts w:ascii="Arial" w:hAnsi="Arial" w:cs="Arial"/>
          <w:i/>
          <w:iCs/>
          <w:sz w:val="20"/>
          <w:szCs w:val="20"/>
        </w:rPr>
        <w:t>per se</w:t>
      </w:r>
      <w:r w:rsidRPr="001C1B9B">
        <w:rPr>
          <w:rFonts w:ascii="Arial" w:hAnsi="Arial" w:cs="Arial"/>
          <w:i/>
          <w:sz w:val="20"/>
          <w:szCs w:val="20"/>
        </w:rPr>
        <w:t>, resulta insuficiente para descalificar el pronunciamiento recurrido como acto</w:t>
      </w:r>
      <w:r w:rsidRPr="001C1B9B">
        <w:rPr>
          <w:rFonts w:ascii="Arial" w:hAnsi="Arial" w:cs="Arial"/>
          <w:i/>
          <w:color w:val="000000"/>
          <w:sz w:val="20"/>
          <w:szCs w:val="20"/>
        </w:rPr>
        <w:t xml:space="preserve"> </w:t>
      </w:r>
      <w:r w:rsidRPr="001C1B9B">
        <w:rPr>
          <w:rFonts w:ascii="Arial" w:hAnsi="Arial" w:cs="Arial"/>
          <w:i/>
          <w:sz w:val="20"/>
          <w:szCs w:val="20"/>
        </w:rPr>
        <w:t>judicial válido, lo que deriva en el rechazo de su recurso de casación…”</w:t>
      </w:r>
      <w:r w:rsidRPr="001C1B9B">
        <w:rPr>
          <w:rFonts w:ascii="Arial" w:hAnsi="Arial" w:cs="Arial"/>
          <w:sz w:val="20"/>
          <w:szCs w:val="20"/>
        </w:rPr>
        <w:t xml:space="preserve"> (sic). </w:t>
      </w:r>
    </w:p>
    <w:p w14:paraId="5774BCE9" w14:textId="311A58D3" w:rsidR="00766BE5" w:rsidRPr="001C1B9B" w:rsidRDefault="00F87984" w:rsidP="001C1B9B">
      <w:pPr>
        <w:spacing w:line="360" w:lineRule="auto"/>
        <w:ind w:firstLine="708"/>
        <w:jc w:val="both"/>
        <w:rPr>
          <w:rFonts w:ascii="Arial" w:hAnsi="Arial" w:cs="Arial"/>
          <w:sz w:val="20"/>
          <w:szCs w:val="20"/>
          <w:lang w:val="es-ES"/>
        </w:rPr>
      </w:pPr>
      <w:r w:rsidRPr="001C1B9B">
        <w:rPr>
          <w:rFonts w:ascii="Arial" w:hAnsi="Arial" w:cs="Arial"/>
          <w:sz w:val="20"/>
          <w:szCs w:val="20"/>
        </w:rPr>
        <w:t xml:space="preserve">Aquí entonces, nos encontramos con varios órganos judiciales (léase Juzgado de Comodoro Rivadavia, Cámara Federal de Comodoro Rivadavia, Fiscal Federal de Comodoro Rivadavia y Sala IV de la Cámara Federal de Casación Penal), que consideran que el art. 219 del </w:t>
      </w:r>
      <w:r w:rsidR="0098525B" w:rsidRPr="001C1B9B">
        <w:rPr>
          <w:rFonts w:ascii="Arial" w:hAnsi="Arial" w:cs="Arial"/>
          <w:sz w:val="20"/>
          <w:szCs w:val="20"/>
        </w:rPr>
        <w:t xml:space="preserve">Código Aeronáutico </w:t>
      </w:r>
      <w:r w:rsidRPr="001C1B9B">
        <w:rPr>
          <w:rFonts w:ascii="Arial" w:hAnsi="Arial" w:cs="Arial"/>
          <w:sz w:val="20"/>
          <w:szCs w:val="20"/>
        </w:rPr>
        <w:t>se encuentra vigente conforme ley 17.</w:t>
      </w:r>
      <w:r w:rsidR="00211574" w:rsidRPr="001C1B9B">
        <w:rPr>
          <w:rFonts w:ascii="Arial" w:hAnsi="Arial" w:cs="Arial"/>
          <w:sz w:val="20"/>
          <w:szCs w:val="20"/>
        </w:rPr>
        <w:t>2</w:t>
      </w:r>
      <w:r w:rsidR="00575EB7" w:rsidRPr="001C1B9B">
        <w:rPr>
          <w:rFonts w:ascii="Arial" w:hAnsi="Arial" w:cs="Arial"/>
          <w:sz w:val="20"/>
          <w:szCs w:val="20"/>
        </w:rPr>
        <w:t>8</w:t>
      </w:r>
      <w:r w:rsidR="00211574" w:rsidRPr="001C1B9B">
        <w:rPr>
          <w:rFonts w:ascii="Arial" w:hAnsi="Arial" w:cs="Arial"/>
          <w:sz w:val="20"/>
          <w:szCs w:val="20"/>
        </w:rPr>
        <w:t xml:space="preserve">5. </w:t>
      </w:r>
    </w:p>
    <w:p w14:paraId="557A6ADC" w14:textId="0B4BC6F5" w:rsidR="00211574" w:rsidRPr="001C1B9B" w:rsidRDefault="00211574" w:rsidP="001C1B9B">
      <w:pPr>
        <w:spacing w:line="360" w:lineRule="auto"/>
        <w:ind w:firstLine="708"/>
        <w:jc w:val="both"/>
        <w:rPr>
          <w:rFonts w:ascii="Arial" w:hAnsi="Arial" w:cs="Arial"/>
          <w:b/>
          <w:sz w:val="20"/>
          <w:szCs w:val="20"/>
          <w:lang w:val="es-ES"/>
        </w:rPr>
      </w:pPr>
      <w:r w:rsidRPr="001C1B9B">
        <w:rPr>
          <w:rFonts w:ascii="Arial" w:hAnsi="Arial" w:cs="Arial"/>
          <w:b/>
          <w:sz w:val="20"/>
          <w:szCs w:val="20"/>
          <w:lang w:val="es-ES"/>
        </w:rPr>
        <w:t>d) Cas</w:t>
      </w:r>
      <w:r w:rsidR="00D855EC" w:rsidRPr="001C1B9B">
        <w:rPr>
          <w:rFonts w:ascii="Arial" w:hAnsi="Arial" w:cs="Arial"/>
          <w:b/>
          <w:sz w:val="20"/>
          <w:szCs w:val="20"/>
          <w:lang w:val="es-ES"/>
        </w:rPr>
        <w:t>o</w:t>
      </w:r>
      <w:r w:rsidRPr="001C1B9B">
        <w:rPr>
          <w:rFonts w:ascii="Arial" w:hAnsi="Arial" w:cs="Arial"/>
          <w:b/>
          <w:sz w:val="20"/>
          <w:szCs w:val="20"/>
          <w:lang w:val="es-ES"/>
        </w:rPr>
        <w:t xml:space="preserve"> </w:t>
      </w:r>
      <w:r w:rsidR="004C26C6" w:rsidRPr="001C1B9B">
        <w:rPr>
          <w:rFonts w:ascii="Arial" w:hAnsi="Arial" w:cs="Arial"/>
          <w:b/>
          <w:sz w:val="20"/>
          <w:szCs w:val="20"/>
          <w:lang w:val="es-ES"/>
        </w:rPr>
        <w:t>“Gallardo”</w:t>
      </w:r>
      <w:r w:rsidR="00DB63E4" w:rsidRPr="001C1B9B">
        <w:rPr>
          <w:rStyle w:val="Refdenotaalpie"/>
          <w:rFonts w:ascii="Arial" w:hAnsi="Arial" w:cs="Arial"/>
          <w:sz w:val="20"/>
          <w:szCs w:val="20"/>
          <w:lang w:val="es-ES"/>
        </w:rPr>
        <w:footnoteReference w:id="5"/>
      </w:r>
      <w:r w:rsidR="00DA525D" w:rsidRPr="001C1B9B">
        <w:rPr>
          <w:rFonts w:ascii="Arial" w:hAnsi="Arial" w:cs="Arial"/>
          <w:b/>
          <w:sz w:val="20"/>
          <w:szCs w:val="20"/>
          <w:lang w:val="es-ES"/>
        </w:rPr>
        <w:t>.</w:t>
      </w:r>
      <w:r w:rsidR="004C26C6" w:rsidRPr="001C1B9B">
        <w:rPr>
          <w:rFonts w:ascii="Arial" w:hAnsi="Arial" w:cs="Arial"/>
          <w:b/>
          <w:sz w:val="20"/>
          <w:szCs w:val="20"/>
          <w:lang w:val="es-ES"/>
        </w:rPr>
        <w:t xml:space="preserve"> </w:t>
      </w:r>
    </w:p>
    <w:p w14:paraId="36B98C40" w14:textId="3B28F656" w:rsidR="00DA525D" w:rsidRPr="001C1B9B" w:rsidRDefault="00DA525D" w:rsidP="001C1B9B">
      <w:pPr>
        <w:spacing w:line="360" w:lineRule="auto"/>
        <w:ind w:firstLine="708"/>
        <w:jc w:val="both"/>
        <w:rPr>
          <w:rFonts w:ascii="Arial" w:hAnsi="Arial" w:cs="Arial"/>
          <w:sz w:val="20"/>
          <w:szCs w:val="20"/>
        </w:rPr>
      </w:pPr>
      <w:r w:rsidRPr="001C1B9B">
        <w:rPr>
          <w:rFonts w:ascii="Arial" w:hAnsi="Arial" w:cs="Arial"/>
          <w:sz w:val="20"/>
          <w:szCs w:val="20"/>
          <w:lang w:val="es-ES"/>
        </w:rPr>
        <w:t xml:space="preserve">Este caso llega a conocimiento de la Sala III de la Cámara Federal de Casación Penal en orden a la impugnación formulada contra el </w:t>
      </w:r>
      <w:r w:rsidRPr="001C1B9B">
        <w:rPr>
          <w:rFonts w:ascii="Arial" w:hAnsi="Arial" w:cs="Arial"/>
          <w:i/>
          <w:sz w:val="20"/>
          <w:szCs w:val="20"/>
          <w:lang w:val="es-ES"/>
        </w:rPr>
        <w:t>“...</w:t>
      </w:r>
      <w:r w:rsidRPr="001C1B9B">
        <w:rPr>
          <w:rFonts w:ascii="Arial" w:hAnsi="Arial" w:cs="Arial"/>
          <w:i/>
          <w:sz w:val="20"/>
          <w:szCs w:val="20"/>
        </w:rPr>
        <w:t>sobreseimiento total y definitivo de Walter Horacio Gallardo y Aníbal Touris, en orden a los delitos por los cuales fueron procesados y acusados (art. 219, inc. 1</w:t>
      </w:r>
      <w:r w:rsidRPr="001C1B9B">
        <w:rPr>
          <w:rFonts w:ascii="Arial" w:hAnsi="Arial" w:cs="Arial"/>
          <w:i/>
          <w:sz w:val="20"/>
          <w:szCs w:val="20"/>
        </w:rPr>
        <w:sym w:font="Symbol" w:char="F0B0"/>
      </w:r>
      <w:r w:rsidRPr="001C1B9B">
        <w:rPr>
          <w:rFonts w:ascii="Arial" w:hAnsi="Arial" w:cs="Arial"/>
          <w:i/>
          <w:sz w:val="20"/>
          <w:szCs w:val="20"/>
        </w:rPr>
        <w:t>, de la Ley 17.285 y art. 248 del C.P., respectivamente), por prescripción de la acción penal...”</w:t>
      </w:r>
      <w:r w:rsidRPr="001C1B9B">
        <w:rPr>
          <w:rFonts w:ascii="Arial" w:hAnsi="Arial" w:cs="Arial"/>
          <w:sz w:val="20"/>
          <w:szCs w:val="20"/>
        </w:rPr>
        <w:t>.</w:t>
      </w:r>
    </w:p>
    <w:p w14:paraId="305039AC" w14:textId="2D7F05CE" w:rsidR="00E128A4" w:rsidRPr="001C1B9B" w:rsidRDefault="0068274B" w:rsidP="001C1B9B">
      <w:pPr>
        <w:spacing w:line="360" w:lineRule="auto"/>
        <w:ind w:firstLine="708"/>
        <w:jc w:val="both"/>
        <w:rPr>
          <w:rFonts w:ascii="Arial" w:hAnsi="Arial" w:cs="Arial"/>
          <w:sz w:val="20"/>
          <w:szCs w:val="20"/>
        </w:rPr>
      </w:pPr>
      <w:r w:rsidRPr="001C1B9B">
        <w:rPr>
          <w:rFonts w:ascii="Arial" w:hAnsi="Arial" w:cs="Arial"/>
          <w:sz w:val="20"/>
          <w:szCs w:val="20"/>
          <w:lang w:val="es-ES"/>
        </w:rPr>
        <w:t>Más</w:t>
      </w:r>
      <w:r w:rsidR="00DA525D" w:rsidRPr="001C1B9B">
        <w:rPr>
          <w:rFonts w:ascii="Arial" w:hAnsi="Arial" w:cs="Arial"/>
          <w:sz w:val="20"/>
          <w:szCs w:val="20"/>
          <w:lang w:val="es-ES"/>
        </w:rPr>
        <w:t xml:space="preserve"> </w:t>
      </w:r>
      <w:r w:rsidRPr="001C1B9B">
        <w:rPr>
          <w:rFonts w:ascii="Arial" w:hAnsi="Arial" w:cs="Arial"/>
          <w:sz w:val="20"/>
          <w:szCs w:val="20"/>
          <w:lang w:val="es-ES"/>
        </w:rPr>
        <w:t>allá</w:t>
      </w:r>
      <w:r w:rsidR="00DA525D" w:rsidRPr="001C1B9B">
        <w:rPr>
          <w:rFonts w:ascii="Arial" w:hAnsi="Arial" w:cs="Arial"/>
          <w:sz w:val="20"/>
          <w:szCs w:val="20"/>
          <w:lang w:val="es-ES"/>
        </w:rPr>
        <w:t xml:space="preserve"> de las particularidades fácticas de este caso, aquí resulta interesante señalar que iniciada la investigación se les había recriminado</w:t>
      </w:r>
      <w:r w:rsidR="008444B0" w:rsidRPr="001C1B9B">
        <w:rPr>
          <w:rFonts w:ascii="Arial" w:hAnsi="Arial" w:cs="Arial"/>
          <w:sz w:val="20"/>
          <w:szCs w:val="20"/>
          <w:lang w:val="es-ES"/>
        </w:rPr>
        <w:t xml:space="preserve"> a los imputados </w:t>
      </w:r>
      <w:r w:rsidR="00DA525D" w:rsidRPr="001C1B9B">
        <w:rPr>
          <w:rFonts w:ascii="Arial" w:hAnsi="Arial" w:cs="Arial"/>
          <w:sz w:val="20"/>
          <w:szCs w:val="20"/>
          <w:lang w:val="es-ES"/>
        </w:rPr>
        <w:t xml:space="preserve">la presunta infracción al </w:t>
      </w:r>
      <w:r w:rsidR="00DA525D" w:rsidRPr="001C1B9B">
        <w:rPr>
          <w:rFonts w:ascii="Arial" w:hAnsi="Arial" w:cs="Arial"/>
          <w:sz w:val="20"/>
          <w:szCs w:val="20"/>
        </w:rPr>
        <w:t>artículo 219 inciso 1</w:t>
      </w:r>
      <w:r w:rsidR="00DA525D" w:rsidRPr="001C1B9B">
        <w:rPr>
          <w:rFonts w:ascii="Arial" w:hAnsi="Arial" w:cs="Arial"/>
          <w:sz w:val="20"/>
          <w:szCs w:val="20"/>
        </w:rPr>
        <w:sym w:font="Symbol" w:char="F0B0"/>
      </w:r>
      <w:r w:rsidR="00DA525D" w:rsidRPr="001C1B9B">
        <w:rPr>
          <w:rFonts w:ascii="Arial" w:hAnsi="Arial" w:cs="Arial"/>
          <w:sz w:val="20"/>
          <w:szCs w:val="20"/>
        </w:rPr>
        <w:t xml:space="preserve"> de la ley 17.285.</w:t>
      </w:r>
      <w:r w:rsidR="008444B0" w:rsidRPr="001C1B9B">
        <w:rPr>
          <w:rFonts w:ascii="Arial" w:hAnsi="Arial" w:cs="Arial"/>
          <w:sz w:val="20"/>
          <w:szCs w:val="20"/>
        </w:rPr>
        <w:t xml:space="preserve"> </w:t>
      </w:r>
      <w:r w:rsidR="00DA525D" w:rsidRPr="001C1B9B">
        <w:rPr>
          <w:rFonts w:ascii="Arial" w:hAnsi="Arial" w:cs="Arial"/>
          <w:sz w:val="20"/>
          <w:szCs w:val="20"/>
        </w:rPr>
        <w:t xml:space="preserve">Durante la tramitación del proceso, </w:t>
      </w:r>
      <w:r w:rsidR="00B365EE" w:rsidRPr="001C1B9B">
        <w:rPr>
          <w:rFonts w:ascii="Arial" w:hAnsi="Arial" w:cs="Arial"/>
          <w:sz w:val="20"/>
          <w:szCs w:val="20"/>
        </w:rPr>
        <w:t xml:space="preserve">el Tribunal Oral </w:t>
      </w:r>
      <w:r w:rsidR="00E128A4" w:rsidRPr="001C1B9B">
        <w:rPr>
          <w:rFonts w:ascii="Arial" w:hAnsi="Arial" w:cs="Arial"/>
          <w:sz w:val="20"/>
          <w:szCs w:val="20"/>
        </w:rPr>
        <w:t xml:space="preserve">resolvió nulificar </w:t>
      </w:r>
      <w:r w:rsidR="00B365EE" w:rsidRPr="001C1B9B">
        <w:rPr>
          <w:rFonts w:ascii="Arial" w:hAnsi="Arial" w:cs="Arial"/>
          <w:sz w:val="20"/>
          <w:szCs w:val="20"/>
        </w:rPr>
        <w:t xml:space="preserve">las declaraciones indagatorias </w:t>
      </w:r>
      <w:r w:rsidR="00E128A4" w:rsidRPr="001C1B9B">
        <w:rPr>
          <w:rFonts w:ascii="Arial" w:hAnsi="Arial" w:cs="Arial"/>
          <w:sz w:val="20"/>
          <w:szCs w:val="20"/>
        </w:rPr>
        <w:t xml:space="preserve">que </w:t>
      </w:r>
      <w:r w:rsidR="00FF72C4" w:rsidRPr="001C1B9B">
        <w:rPr>
          <w:rFonts w:ascii="Arial" w:hAnsi="Arial" w:cs="Arial"/>
          <w:sz w:val="20"/>
          <w:szCs w:val="20"/>
        </w:rPr>
        <w:t>se</w:t>
      </w:r>
      <w:r w:rsidR="00E128A4" w:rsidRPr="001C1B9B">
        <w:rPr>
          <w:rFonts w:ascii="Arial" w:hAnsi="Arial" w:cs="Arial"/>
          <w:sz w:val="20"/>
          <w:szCs w:val="20"/>
        </w:rPr>
        <w:t xml:space="preserve"> habían recibid</w:t>
      </w:r>
      <w:r w:rsidR="00FF72C4" w:rsidRPr="001C1B9B">
        <w:rPr>
          <w:rFonts w:ascii="Arial" w:hAnsi="Arial" w:cs="Arial"/>
          <w:sz w:val="20"/>
          <w:szCs w:val="20"/>
        </w:rPr>
        <w:t>o</w:t>
      </w:r>
      <w:r w:rsidR="00E128A4" w:rsidRPr="001C1B9B">
        <w:rPr>
          <w:rFonts w:ascii="Arial" w:hAnsi="Arial" w:cs="Arial"/>
          <w:sz w:val="20"/>
          <w:szCs w:val="20"/>
        </w:rPr>
        <w:t xml:space="preserve"> por considerar que se les había </w:t>
      </w:r>
      <w:r w:rsidR="008444B0" w:rsidRPr="001C1B9B">
        <w:rPr>
          <w:rFonts w:ascii="Arial" w:hAnsi="Arial" w:cs="Arial"/>
          <w:sz w:val="20"/>
          <w:szCs w:val="20"/>
        </w:rPr>
        <w:t xml:space="preserve">reprochado </w:t>
      </w:r>
      <w:r w:rsidR="00B365EE" w:rsidRPr="001C1B9B">
        <w:rPr>
          <w:rFonts w:ascii="Arial" w:hAnsi="Arial" w:cs="Arial"/>
          <w:sz w:val="20"/>
          <w:szCs w:val="20"/>
        </w:rPr>
        <w:t>un delito que se enc</w:t>
      </w:r>
      <w:r w:rsidR="00FF72C4" w:rsidRPr="001C1B9B">
        <w:rPr>
          <w:rFonts w:ascii="Arial" w:hAnsi="Arial" w:cs="Arial"/>
          <w:sz w:val="20"/>
          <w:szCs w:val="20"/>
        </w:rPr>
        <w:t>ontraba</w:t>
      </w:r>
      <w:r w:rsidR="00B365EE" w:rsidRPr="001C1B9B">
        <w:rPr>
          <w:rFonts w:ascii="Arial" w:hAnsi="Arial" w:cs="Arial"/>
          <w:sz w:val="20"/>
          <w:szCs w:val="20"/>
        </w:rPr>
        <w:t xml:space="preserve"> derogado (artículo 219 inciso 1</w:t>
      </w:r>
      <w:r w:rsidR="00B365EE" w:rsidRPr="001C1B9B">
        <w:rPr>
          <w:rFonts w:ascii="Arial" w:hAnsi="Arial" w:cs="Arial"/>
          <w:sz w:val="20"/>
          <w:szCs w:val="20"/>
        </w:rPr>
        <w:sym w:font="Symbol" w:char="F0B0"/>
      </w:r>
      <w:r w:rsidR="00B365EE" w:rsidRPr="001C1B9B">
        <w:rPr>
          <w:rFonts w:ascii="Arial" w:hAnsi="Arial" w:cs="Arial"/>
          <w:sz w:val="20"/>
          <w:szCs w:val="20"/>
        </w:rPr>
        <w:t xml:space="preserve"> de la ley 17.285)</w:t>
      </w:r>
      <w:r w:rsidR="00E128A4" w:rsidRPr="001C1B9B">
        <w:rPr>
          <w:rFonts w:ascii="Arial" w:hAnsi="Arial" w:cs="Arial"/>
          <w:sz w:val="20"/>
          <w:szCs w:val="20"/>
        </w:rPr>
        <w:t xml:space="preserve">, </w:t>
      </w:r>
      <w:r w:rsidRPr="001C1B9B">
        <w:rPr>
          <w:rFonts w:ascii="Arial" w:hAnsi="Arial" w:cs="Arial"/>
          <w:sz w:val="20"/>
          <w:szCs w:val="20"/>
        </w:rPr>
        <w:t>entendiendo</w:t>
      </w:r>
      <w:r w:rsidR="00E128A4" w:rsidRPr="001C1B9B">
        <w:rPr>
          <w:rFonts w:ascii="Arial" w:hAnsi="Arial" w:cs="Arial"/>
          <w:sz w:val="20"/>
          <w:szCs w:val="20"/>
        </w:rPr>
        <w:t xml:space="preserve"> que el hecho debería subsumirse bajo la figura </w:t>
      </w:r>
      <w:r w:rsidR="00FF72C4" w:rsidRPr="001C1B9B">
        <w:rPr>
          <w:rFonts w:ascii="Arial" w:hAnsi="Arial" w:cs="Arial"/>
          <w:sz w:val="20"/>
          <w:szCs w:val="20"/>
        </w:rPr>
        <w:t xml:space="preserve">establecida </w:t>
      </w:r>
      <w:r w:rsidR="00E128A4" w:rsidRPr="001C1B9B">
        <w:rPr>
          <w:rFonts w:ascii="Arial" w:hAnsi="Arial" w:cs="Arial"/>
          <w:sz w:val="20"/>
          <w:szCs w:val="20"/>
        </w:rPr>
        <w:t xml:space="preserve">en el </w:t>
      </w:r>
      <w:r w:rsidR="00B365EE" w:rsidRPr="001C1B9B">
        <w:rPr>
          <w:rFonts w:ascii="Arial" w:hAnsi="Arial" w:cs="Arial"/>
          <w:sz w:val="20"/>
          <w:szCs w:val="20"/>
        </w:rPr>
        <w:t>artículo 194 inciso 1</w:t>
      </w:r>
      <w:r w:rsidR="00B365EE" w:rsidRPr="001C1B9B">
        <w:rPr>
          <w:rFonts w:ascii="Arial" w:hAnsi="Arial" w:cs="Arial"/>
          <w:sz w:val="20"/>
          <w:szCs w:val="20"/>
        </w:rPr>
        <w:sym w:font="Symbol" w:char="F0B0"/>
      </w:r>
      <w:r w:rsidR="00B365EE" w:rsidRPr="001C1B9B">
        <w:rPr>
          <w:rFonts w:ascii="Arial" w:hAnsi="Arial" w:cs="Arial"/>
          <w:sz w:val="20"/>
          <w:szCs w:val="20"/>
        </w:rPr>
        <w:t xml:space="preserve"> de la ley 14.307</w:t>
      </w:r>
      <w:r w:rsidR="00E128A4" w:rsidRPr="001C1B9B">
        <w:rPr>
          <w:rFonts w:ascii="Arial" w:hAnsi="Arial" w:cs="Arial"/>
          <w:sz w:val="20"/>
          <w:szCs w:val="20"/>
        </w:rPr>
        <w:t>.</w:t>
      </w:r>
    </w:p>
    <w:p w14:paraId="469C53C7" w14:textId="13544DC6" w:rsidR="00236228" w:rsidRPr="001C1B9B" w:rsidRDefault="00E128A4" w:rsidP="001C1B9B">
      <w:pPr>
        <w:spacing w:line="360" w:lineRule="auto"/>
        <w:ind w:firstLine="708"/>
        <w:jc w:val="both"/>
        <w:rPr>
          <w:rFonts w:ascii="Arial" w:hAnsi="Arial" w:cs="Arial"/>
          <w:sz w:val="20"/>
          <w:szCs w:val="20"/>
        </w:rPr>
      </w:pPr>
      <w:r w:rsidRPr="001C1B9B">
        <w:rPr>
          <w:rFonts w:ascii="Arial" w:hAnsi="Arial" w:cs="Arial"/>
          <w:sz w:val="20"/>
          <w:szCs w:val="20"/>
        </w:rPr>
        <w:t xml:space="preserve">Los jueces de la </w:t>
      </w:r>
      <w:bookmarkStart w:id="4" w:name="_Hlk198885518"/>
      <w:r w:rsidRPr="001C1B9B">
        <w:rPr>
          <w:rFonts w:ascii="Arial" w:hAnsi="Arial" w:cs="Arial"/>
          <w:sz w:val="20"/>
          <w:szCs w:val="20"/>
        </w:rPr>
        <w:t>Sala III de la C</w:t>
      </w:r>
      <w:r w:rsidR="00FF72C4" w:rsidRPr="001C1B9B">
        <w:rPr>
          <w:rFonts w:ascii="Arial" w:hAnsi="Arial" w:cs="Arial"/>
          <w:sz w:val="20"/>
          <w:szCs w:val="20"/>
        </w:rPr>
        <w:t>ámara Federal de Casación Penal</w:t>
      </w:r>
      <w:r w:rsidRPr="001C1B9B">
        <w:rPr>
          <w:rFonts w:ascii="Arial" w:hAnsi="Arial" w:cs="Arial"/>
          <w:sz w:val="20"/>
          <w:szCs w:val="20"/>
        </w:rPr>
        <w:t xml:space="preserve"> </w:t>
      </w:r>
      <w:bookmarkEnd w:id="4"/>
      <w:r w:rsidRPr="001C1B9B">
        <w:rPr>
          <w:rFonts w:ascii="Arial" w:hAnsi="Arial" w:cs="Arial"/>
          <w:sz w:val="20"/>
          <w:szCs w:val="20"/>
        </w:rPr>
        <w:t>compartieron en parte el temperamento al que arribaron los magistrados del Tribunal Oral. Así, el Dr. Eduar</w:t>
      </w:r>
      <w:r w:rsidR="00FF72C4" w:rsidRPr="001C1B9B">
        <w:rPr>
          <w:rFonts w:ascii="Arial" w:hAnsi="Arial" w:cs="Arial"/>
          <w:sz w:val="20"/>
          <w:szCs w:val="20"/>
        </w:rPr>
        <w:t>do Riggi, quien llevó</w:t>
      </w:r>
      <w:r w:rsidRPr="001C1B9B">
        <w:rPr>
          <w:rFonts w:ascii="Arial" w:hAnsi="Arial" w:cs="Arial"/>
          <w:sz w:val="20"/>
          <w:szCs w:val="20"/>
        </w:rPr>
        <w:t xml:space="preserve"> la voz del acuerdo, sost</w:t>
      </w:r>
      <w:r w:rsidR="00FF72C4" w:rsidRPr="001C1B9B">
        <w:rPr>
          <w:rFonts w:ascii="Arial" w:hAnsi="Arial" w:cs="Arial"/>
          <w:sz w:val="20"/>
          <w:szCs w:val="20"/>
        </w:rPr>
        <w:t>uvo q</w:t>
      </w:r>
      <w:r w:rsidRPr="001C1B9B">
        <w:rPr>
          <w:rFonts w:ascii="Arial" w:hAnsi="Arial" w:cs="Arial"/>
          <w:sz w:val="20"/>
          <w:szCs w:val="20"/>
        </w:rPr>
        <w:t xml:space="preserve">ue </w:t>
      </w:r>
      <w:r w:rsidRPr="001C1B9B">
        <w:rPr>
          <w:rFonts w:ascii="Arial" w:hAnsi="Arial" w:cs="Arial"/>
          <w:i/>
          <w:sz w:val="20"/>
          <w:szCs w:val="20"/>
        </w:rPr>
        <w:t>“…</w:t>
      </w:r>
      <w:r w:rsidR="00236228" w:rsidRPr="001C1B9B">
        <w:rPr>
          <w:rFonts w:ascii="Arial" w:hAnsi="Arial" w:cs="Arial"/>
          <w:i/>
          <w:sz w:val="20"/>
          <w:szCs w:val="20"/>
        </w:rPr>
        <w:t>el Tribunal Oral sobreseyó a los encausados “en orden a los delitos por los cuales fueron procesados y acusados”, indicación esta que nos permite darnos una explicación lógica sobre la mención del derogado artículo 219, inciso 1</w:t>
      </w:r>
      <w:r w:rsidR="00236228" w:rsidRPr="001C1B9B">
        <w:rPr>
          <w:rFonts w:ascii="Arial" w:hAnsi="Arial" w:cs="Arial"/>
          <w:i/>
          <w:sz w:val="20"/>
          <w:szCs w:val="20"/>
        </w:rPr>
        <w:sym w:font="Symbol" w:char="F0B0"/>
      </w:r>
      <w:r w:rsidR="00236228" w:rsidRPr="001C1B9B">
        <w:rPr>
          <w:rFonts w:ascii="Arial" w:hAnsi="Arial" w:cs="Arial"/>
          <w:i/>
          <w:sz w:val="20"/>
          <w:szCs w:val="20"/>
        </w:rPr>
        <w:t xml:space="preserve">, de la ley 17.285 en </w:t>
      </w:r>
      <w:r w:rsidR="00236228" w:rsidRPr="001C1B9B">
        <w:rPr>
          <w:rFonts w:ascii="Arial" w:hAnsi="Arial" w:cs="Arial"/>
          <w:i/>
          <w:sz w:val="20"/>
          <w:szCs w:val="20"/>
        </w:rPr>
        <w:lastRenderedPageBreak/>
        <w:t>lugar de la que correspondía para el caso (artículo 194 inciso 1</w:t>
      </w:r>
      <w:r w:rsidR="00236228" w:rsidRPr="001C1B9B">
        <w:rPr>
          <w:rFonts w:ascii="Arial" w:hAnsi="Arial" w:cs="Arial"/>
          <w:i/>
          <w:sz w:val="20"/>
          <w:szCs w:val="20"/>
        </w:rPr>
        <w:sym w:font="Symbol" w:char="F0B0"/>
      </w:r>
      <w:r w:rsidR="00236228" w:rsidRPr="001C1B9B">
        <w:rPr>
          <w:rFonts w:ascii="Arial" w:hAnsi="Arial" w:cs="Arial"/>
          <w:i/>
          <w:sz w:val="20"/>
          <w:szCs w:val="20"/>
        </w:rPr>
        <w:t xml:space="preserve"> de la ley 14.307)</w:t>
      </w:r>
      <w:r w:rsidRPr="001C1B9B">
        <w:rPr>
          <w:rFonts w:ascii="Arial" w:hAnsi="Arial" w:cs="Arial"/>
          <w:i/>
          <w:sz w:val="20"/>
          <w:szCs w:val="20"/>
        </w:rPr>
        <w:t>…”</w:t>
      </w:r>
      <w:r w:rsidRPr="001C1B9B">
        <w:rPr>
          <w:rFonts w:ascii="Arial" w:hAnsi="Arial" w:cs="Arial"/>
          <w:sz w:val="20"/>
          <w:szCs w:val="20"/>
        </w:rPr>
        <w:t xml:space="preserve"> (sic, ver voto del Dr. Eduardo Riggi</w:t>
      </w:r>
      <w:r w:rsidR="0068274B" w:rsidRPr="001C1B9B">
        <w:rPr>
          <w:rFonts w:ascii="Arial" w:hAnsi="Arial" w:cs="Arial"/>
          <w:sz w:val="20"/>
          <w:szCs w:val="20"/>
        </w:rPr>
        <w:t>,</w:t>
      </w:r>
      <w:r w:rsidRPr="001C1B9B">
        <w:rPr>
          <w:rFonts w:ascii="Arial" w:hAnsi="Arial" w:cs="Arial"/>
          <w:sz w:val="20"/>
          <w:szCs w:val="20"/>
        </w:rPr>
        <w:t xml:space="preserve"> así como la adhesión formulada por el Dr. Guillermo J. Tragant). </w:t>
      </w:r>
    </w:p>
    <w:p w14:paraId="37DE43E5" w14:textId="1BDF2385" w:rsidR="00D6646C" w:rsidRPr="001C1B9B" w:rsidRDefault="00FF72C4" w:rsidP="001C1B9B">
      <w:pPr>
        <w:spacing w:line="360" w:lineRule="auto"/>
        <w:ind w:firstLine="708"/>
        <w:jc w:val="both"/>
        <w:rPr>
          <w:rFonts w:ascii="Arial" w:hAnsi="Arial" w:cs="Arial"/>
          <w:i/>
          <w:sz w:val="20"/>
          <w:szCs w:val="20"/>
        </w:rPr>
      </w:pPr>
      <w:r w:rsidRPr="001C1B9B">
        <w:rPr>
          <w:rFonts w:ascii="Arial" w:hAnsi="Arial" w:cs="Arial"/>
          <w:sz w:val="20"/>
          <w:szCs w:val="20"/>
        </w:rPr>
        <w:t xml:space="preserve">A su turno, </w:t>
      </w:r>
      <w:r w:rsidR="00E128A4" w:rsidRPr="001C1B9B">
        <w:rPr>
          <w:rFonts w:ascii="Arial" w:hAnsi="Arial" w:cs="Arial"/>
          <w:sz w:val="20"/>
          <w:szCs w:val="20"/>
        </w:rPr>
        <w:t xml:space="preserve">la Dra. </w:t>
      </w:r>
      <w:r w:rsidR="00236228" w:rsidRPr="001C1B9B">
        <w:rPr>
          <w:rFonts w:ascii="Arial" w:hAnsi="Arial" w:cs="Arial"/>
          <w:sz w:val="20"/>
          <w:szCs w:val="20"/>
        </w:rPr>
        <w:t>Liliana E. Catucci</w:t>
      </w:r>
      <w:r w:rsidR="00E128A4" w:rsidRPr="001C1B9B">
        <w:rPr>
          <w:rFonts w:ascii="Arial" w:hAnsi="Arial" w:cs="Arial"/>
          <w:sz w:val="20"/>
          <w:szCs w:val="20"/>
        </w:rPr>
        <w:t xml:space="preserve"> dijo en su fundamentación que</w:t>
      </w:r>
      <w:r w:rsidR="00E128A4" w:rsidRPr="001C1B9B">
        <w:rPr>
          <w:rFonts w:ascii="Arial" w:hAnsi="Arial" w:cs="Arial"/>
          <w:b/>
          <w:sz w:val="20"/>
          <w:szCs w:val="20"/>
        </w:rPr>
        <w:t xml:space="preserve"> </w:t>
      </w:r>
      <w:r w:rsidR="00E128A4" w:rsidRPr="001C1B9B">
        <w:rPr>
          <w:rFonts w:ascii="Arial" w:hAnsi="Arial" w:cs="Arial"/>
          <w:b/>
          <w:i/>
          <w:sz w:val="20"/>
          <w:szCs w:val="20"/>
        </w:rPr>
        <w:t>“…</w:t>
      </w:r>
      <w:r w:rsidR="00D6646C" w:rsidRPr="001C1B9B">
        <w:rPr>
          <w:rFonts w:ascii="Arial" w:hAnsi="Arial" w:cs="Arial"/>
          <w:i/>
          <w:sz w:val="20"/>
          <w:szCs w:val="20"/>
        </w:rPr>
        <w:t>Gallardo fue indagado por un tipo penal diferente (art. 219, inc. 1</w:t>
      </w:r>
      <w:r w:rsidR="00D6646C" w:rsidRPr="001C1B9B">
        <w:rPr>
          <w:rFonts w:ascii="Arial" w:hAnsi="Arial" w:cs="Arial"/>
          <w:i/>
          <w:sz w:val="20"/>
          <w:szCs w:val="20"/>
        </w:rPr>
        <w:sym w:font="Symbol" w:char="F0B0"/>
      </w:r>
      <w:r w:rsidR="00D6646C" w:rsidRPr="001C1B9B">
        <w:rPr>
          <w:rFonts w:ascii="Arial" w:hAnsi="Arial" w:cs="Arial"/>
          <w:i/>
          <w:sz w:val="20"/>
          <w:szCs w:val="20"/>
        </w:rPr>
        <w:t xml:space="preserve"> del Código Aeronáutico), por el que siguieron tramitando las actuaciones, mientras debió haberlo sido a tenor del 194 de la ley 14.307. </w:t>
      </w:r>
      <w:r w:rsidR="00C77333" w:rsidRPr="001C1B9B">
        <w:rPr>
          <w:rFonts w:ascii="Arial" w:hAnsi="Arial" w:cs="Arial"/>
          <w:i/>
          <w:sz w:val="20"/>
          <w:szCs w:val="20"/>
        </w:rPr>
        <w:t>Además,</w:t>
      </w:r>
      <w:r w:rsidR="00D6646C" w:rsidRPr="001C1B9B">
        <w:rPr>
          <w:rFonts w:ascii="Arial" w:hAnsi="Arial" w:cs="Arial"/>
          <w:i/>
          <w:sz w:val="20"/>
          <w:szCs w:val="20"/>
        </w:rPr>
        <w:t xml:space="preserve"> si se tiene en cuenta que las figuras penales contempladas en las normas citadas contienen distintos elementos constitutivos de los delitos, la nulidad es insoslayable. </w:t>
      </w:r>
    </w:p>
    <w:p w14:paraId="143E5975" w14:textId="53C6B6A5" w:rsidR="0068274B" w:rsidRPr="001C1B9B" w:rsidRDefault="00D6646C" w:rsidP="001C1B9B">
      <w:pPr>
        <w:spacing w:line="360" w:lineRule="auto"/>
        <w:ind w:firstLine="708"/>
        <w:jc w:val="both"/>
        <w:rPr>
          <w:rFonts w:ascii="Arial" w:hAnsi="Arial" w:cs="Arial"/>
          <w:sz w:val="20"/>
          <w:szCs w:val="20"/>
        </w:rPr>
      </w:pPr>
      <w:r w:rsidRPr="001C1B9B">
        <w:rPr>
          <w:rFonts w:ascii="Arial" w:hAnsi="Arial" w:cs="Arial"/>
          <w:i/>
          <w:sz w:val="20"/>
          <w:szCs w:val="20"/>
        </w:rPr>
        <w:t>En efecto la primera se refiere al que condujese una aeronave a la que no se hubiere extendido el certificado de habilitación correspondiente, mientras que el tipo penal previsto en el art. 194 de la ley 14.307 establece: 1</w:t>
      </w:r>
      <w:r w:rsidRPr="001C1B9B">
        <w:rPr>
          <w:rFonts w:ascii="Arial" w:hAnsi="Arial" w:cs="Arial"/>
          <w:i/>
          <w:sz w:val="20"/>
          <w:szCs w:val="20"/>
        </w:rPr>
        <w:sym w:font="Symbol" w:char="F0B0"/>
      </w:r>
      <w:r w:rsidRPr="001C1B9B">
        <w:rPr>
          <w:rFonts w:ascii="Arial" w:hAnsi="Arial" w:cs="Arial"/>
          <w:i/>
          <w:sz w:val="20"/>
          <w:szCs w:val="20"/>
        </w:rPr>
        <w:t>) “El que condujere una aeronave inhabilitada por no reunir los requisitos mínimos de seguridad; y el 2</w:t>
      </w:r>
      <w:r w:rsidRPr="001C1B9B">
        <w:rPr>
          <w:rFonts w:ascii="Arial" w:hAnsi="Arial" w:cs="Arial"/>
          <w:i/>
          <w:sz w:val="20"/>
          <w:szCs w:val="20"/>
        </w:rPr>
        <w:sym w:font="Symbol" w:char="F0B0"/>
      </w:r>
      <w:r w:rsidRPr="001C1B9B">
        <w:rPr>
          <w:rFonts w:ascii="Arial" w:hAnsi="Arial" w:cs="Arial"/>
          <w:i/>
          <w:sz w:val="20"/>
          <w:szCs w:val="20"/>
        </w:rPr>
        <w:t>) “El que condujere una aeronave sin poseer título habilitante...”</w:t>
      </w:r>
      <w:r w:rsidR="00E128A4" w:rsidRPr="001C1B9B">
        <w:rPr>
          <w:rFonts w:ascii="Arial" w:hAnsi="Arial" w:cs="Arial"/>
          <w:sz w:val="20"/>
          <w:szCs w:val="20"/>
        </w:rPr>
        <w:t xml:space="preserve"> (sic, ver el voto de la Dr</w:t>
      </w:r>
      <w:r w:rsidR="00824E03" w:rsidRPr="001C1B9B">
        <w:rPr>
          <w:rFonts w:ascii="Arial" w:hAnsi="Arial" w:cs="Arial"/>
          <w:sz w:val="20"/>
          <w:szCs w:val="20"/>
        </w:rPr>
        <w:t>a</w:t>
      </w:r>
      <w:r w:rsidR="00E128A4" w:rsidRPr="001C1B9B">
        <w:rPr>
          <w:rFonts w:ascii="Arial" w:hAnsi="Arial" w:cs="Arial"/>
          <w:sz w:val="20"/>
          <w:szCs w:val="20"/>
        </w:rPr>
        <w:t>. Liliana Catucci)</w:t>
      </w:r>
      <w:r w:rsidRPr="001C1B9B">
        <w:rPr>
          <w:rFonts w:ascii="Arial" w:hAnsi="Arial" w:cs="Arial"/>
          <w:sz w:val="20"/>
          <w:szCs w:val="20"/>
        </w:rPr>
        <w:t xml:space="preserve">. </w:t>
      </w:r>
    </w:p>
    <w:p w14:paraId="7F25C40F" w14:textId="087782CB" w:rsidR="004C26C6" w:rsidRPr="001C1B9B" w:rsidRDefault="0068274B" w:rsidP="001C1B9B">
      <w:pPr>
        <w:spacing w:line="360" w:lineRule="auto"/>
        <w:ind w:firstLine="708"/>
        <w:jc w:val="both"/>
        <w:rPr>
          <w:rFonts w:ascii="Arial" w:hAnsi="Arial" w:cs="Arial"/>
          <w:sz w:val="20"/>
          <w:szCs w:val="20"/>
          <w:lang w:val="es-ES"/>
        </w:rPr>
      </w:pPr>
      <w:r w:rsidRPr="001C1B9B">
        <w:rPr>
          <w:rFonts w:ascii="Arial" w:hAnsi="Arial" w:cs="Arial"/>
          <w:sz w:val="20"/>
          <w:szCs w:val="20"/>
          <w:lang w:val="es-ES"/>
        </w:rPr>
        <w:t xml:space="preserve">Como puede observarse, aquí los distinguidos funcionarios de la Cámara Federal de Casación Penal </w:t>
      </w:r>
      <w:r w:rsidR="008E3BEB" w:rsidRPr="001C1B9B">
        <w:rPr>
          <w:rFonts w:ascii="Arial" w:hAnsi="Arial" w:cs="Arial"/>
          <w:sz w:val="20"/>
          <w:szCs w:val="20"/>
          <w:lang w:val="es-ES"/>
        </w:rPr>
        <w:t xml:space="preserve">consideraron que </w:t>
      </w:r>
      <w:r w:rsidR="004C26C6" w:rsidRPr="001C1B9B">
        <w:rPr>
          <w:rFonts w:ascii="Arial" w:hAnsi="Arial" w:cs="Arial"/>
          <w:sz w:val="20"/>
          <w:szCs w:val="20"/>
          <w:lang w:val="es-ES"/>
        </w:rPr>
        <w:t>la ley 14.307</w:t>
      </w:r>
      <w:r w:rsidRPr="001C1B9B">
        <w:rPr>
          <w:rFonts w:ascii="Arial" w:hAnsi="Arial" w:cs="Arial"/>
          <w:sz w:val="20"/>
          <w:szCs w:val="20"/>
          <w:lang w:val="es-ES"/>
        </w:rPr>
        <w:t xml:space="preserve"> se encuentra vigente para enjuiciar procesos relacionados con infracciones aeronáuticas</w:t>
      </w:r>
      <w:r w:rsidR="004C26C6" w:rsidRPr="001C1B9B">
        <w:rPr>
          <w:rFonts w:ascii="Arial" w:hAnsi="Arial" w:cs="Arial"/>
          <w:sz w:val="20"/>
          <w:szCs w:val="20"/>
          <w:lang w:val="es-ES"/>
        </w:rPr>
        <w:t>.</w:t>
      </w:r>
      <w:r w:rsidR="008E3BEB" w:rsidRPr="001C1B9B">
        <w:rPr>
          <w:rFonts w:ascii="Arial" w:hAnsi="Arial" w:cs="Arial"/>
          <w:sz w:val="20"/>
          <w:szCs w:val="20"/>
          <w:lang w:val="es-ES"/>
        </w:rPr>
        <w:tab/>
      </w:r>
    </w:p>
    <w:p w14:paraId="38772CD8" w14:textId="2A095630" w:rsidR="00824E03" w:rsidRPr="001C1B9B" w:rsidRDefault="00824E03" w:rsidP="001C1B9B">
      <w:pPr>
        <w:spacing w:line="240" w:lineRule="auto"/>
        <w:ind w:firstLine="709"/>
        <w:jc w:val="both"/>
        <w:rPr>
          <w:rFonts w:ascii="Arial" w:hAnsi="Arial" w:cs="Arial"/>
          <w:i/>
          <w:sz w:val="20"/>
          <w:szCs w:val="20"/>
        </w:rPr>
      </w:pPr>
      <w:r w:rsidRPr="001C1B9B">
        <w:rPr>
          <w:rFonts w:ascii="Arial" w:hAnsi="Arial" w:cs="Arial"/>
          <w:b/>
          <w:sz w:val="20"/>
          <w:szCs w:val="20"/>
          <w:lang w:val="es-ES"/>
        </w:rPr>
        <w:t xml:space="preserve">4. </w:t>
      </w:r>
      <w:r w:rsidR="007501FE" w:rsidRPr="001C1B9B">
        <w:rPr>
          <w:rFonts w:ascii="Arial" w:hAnsi="Arial" w:cs="Arial"/>
          <w:b/>
          <w:sz w:val="20"/>
          <w:szCs w:val="20"/>
          <w:lang w:val="es-ES"/>
        </w:rPr>
        <w:t>La</w:t>
      </w:r>
      <w:r w:rsidR="004C26C6" w:rsidRPr="001C1B9B">
        <w:rPr>
          <w:rFonts w:ascii="Arial" w:hAnsi="Arial" w:cs="Arial"/>
          <w:b/>
          <w:sz w:val="20"/>
          <w:szCs w:val="20"/>
          <w:lang w:val="es-ES"/>
        </w:rPr>
        <w:t xml:space="preserve"> opinión</w:t>
      </w:r>
      <w:r w:rsidR="007501FE" w:rsidRPr="001C1B9B">
        <w:rPr>
          <w:rFonts w:ascii="Arial" w:hAnsi="Arial" w:cs="Arial"/>
          <w:b/>
          <w:sz w:val="20"/>
          <w:szCs w:val="20"/>
          <w:lang w:val="es-ES"/>
        </w:rPr>
        <w:t xml:space="preserve"> del autor:</w:t>
      </w:r>
      <w:r w:rsidRPr="001C1B9B">
        <w:rPr>
          <w:rFonts w:ascii="Arial" w:hAnsi="Arial" w:cs="Arial"/>
          <w:i/>
          <w:sz w:val="20"/>
          <w:szCs w:val="20"/>
        </w:rPr>
        <w:t xml:space="preserve"> </w:t>
      </w:r>
    </w:p>
    <w:p w14:paraId="136B679F" w14:textId="1E212613" w:rsidR="008444B0" w:rsidRPr="001C1B9B" w:rsidRDefault="008444B0" w:rsidP="001C1B9B">
      <w:pPr>
        <w:spacing w:line="360" w:lineRule="auto"/>
        <w:ind w:firstLine="708"/>
        <w:jc w:val="both"/>
        <w:rPr>
          <w:rFonts w:ascii="Arial" w:hAnsi="Arial" w:cs="Arial"/>
          <w:sz w:val="20"/>
          <w:szCs w:val="20"/>
        </w:rPr>
      </w:pPr>
      <w:r w:rsidRPr="001C1B9B">
        <w:rPr>
          <w:rFonts w:ascii="Arial" w:hAnsi="Arial" w:cs="Arial"/>
          <w:sz w:val="20"/>
          <w:szCs w:val="20"/>
        </w:rPr>
        <w:t>El análisis de la evolución legislativa desde los primeros decretos hasta las leyes sancionadas durante los gobiernos de facto revela un panorama complejo y fragmentado. La derogación de algunas normativas y la introducción de otras han dejado un vacío que dificulta la determinación precisa de cuál es la ley aplicable en casos concretos.</w:t>
      </w:r>
    </w:p>
    <w:p w14:paraId="64B37340" w14:textId="3976DB42" w:rsidR="008444B0" w:rsidRPr="001C1B9B" w:rsidRDefault="008444B0" w:rsidP="001C1B9B">
      <w:pPr>
        <w:spacing w:line="360" w:lineRule="auto"/>
        <w:ind w:firstLine="708"/>
        <w:jc w:val="both"/>
        <w:rPr>
          <w:rFonts w:ascii="Arial" w:hAnsi="Arial" w:cs="Arial"/>
          <w:sz w:val="20"/>
          <w:szCs w:val="20"/>
        </w:rPr>
      </w:pPr>
      <w:r w:rsidRPr="001C1B9B">
        <w:rPr>
          <w:rFonts w:ascii="Arial" w:hAnsi="Arial" w:cs="Arial"/>
          <w:sz w:val="20"/>
          <w:szCs w:val="20"/>
        </w:rPr>
        <w:t xml:space="preserve">Los casos judiciales analizados ilustran la diversidad de criterios interpretativos que existen respecto a la ley aplicable en materia de delitos aeronáuticos. Desde mi perspectiva, desmenuzando las diversas modificaciones que se han sucedido a lo largo de los años, se puede advertir que la originaria ley 14.307 del año 1954 es la norma que a la fecha se encuentra vigente en la materia, tal como lo han considerado </w:t>
      </w:r>
      <w:r w:rsidR="00824E03" w:rsidRPr="001C1B9B">
        <w:rPr>
          <w:rFonts w:ascii="Arial" w:hAnsi="Arial" w:cs="Arial"/>
          <w:sz w:val="20"/>
          <w:szCs w:val="20"/>
        </w:rPr>
        <w:t>los Dres. Eduardo Riggi, Guillermo J. Tragant y Liliana Catucci</w:t>
      </w:r>
      <w:r w:rsidRPr="001C1B9B">
        <w:rPr>
          <w:rFonts w:ascii="Arial" w:hAnsi="Arial" w:cs="Arial"/>
          <w:sz w:val="20"/>
          <w:szCs w:val="20"/>
        </w:rPr>
        <w:t xml:space="preserve"> en el caso estudiado más arriba.</w:t>
      </w:r>
    </w:p>
    <w:p w14:paraId="24382A29" w14:textId="7DA8DA3C" w:rsidR="009A516F" w:rsidRPr="001C1B9B" w:rsidRDefault="009A516F" w:rsidP="001C1B9B">
      <w:pPr>
        <w:spacing w:line="360" w:lineRule="auto"/>
        <w:ind w:firstLine="708"/>
        <w:jc w:val="both"/>
        <w:rPr>
          <w:rFonts w:ascii="Arial" w:hAnsi="Arial" w:cs="Arial"/>
          <w:i/>
          <w:sz w:val="20"/>
          <w:szCs w:val="20"/>
        </w:rPr>
      </w:pPr>
      <w:r w:rsidRPr="001C1B9B">
        <w:rPr>
          <w:rFonts w:ascii="Arial" w:hAnsi="Arial" w:cs="Arial"/>
          <w:sz w:val="20"/>
          <w:szCs w:val="20"/>
        </w:rPr>
        <w:t xml:space="preserve">Esto principalmente por cuanto si bien es cierto que </w:t>
      </w:r>
      <w:r w:rsidR="003E32F9" w:rsidRPr="001C1B9B">
        <w:rPr>
          <w:rFonts w:ascii="Arial" w:hAnsi="Arial" w:cs="Arial"/>
          <w:sz w:val="20"/>
          <w:szCs w:val="20"/>
        </w:rPr>
        <w:t>aquella</w:t>
      </w:r>
      <w:r w:rsidR="003E75F3" w:rsidRPr="001C1B9B">
        <w:rPr>
          <w:rFonts w:ascii="Arial" w:hAnsi="Arial" w:cs="Arial"/>
          <w:sz w:val="20"/>
          <w:szCs w:val="20"/>
        </w:rPr>
        <w:t xml:space="preserve"> fue derogada en su tiempo por la </w:t>
      </w:r>
      <w:r w:rsidR="001B51C4" w:rsidRPr="001C1B9B">
        <w:rPr>
          <w:rFonts w:ascii="Arial" w:hAnsi="Arial" w:cs="Arial"/>
          <w:sz w:val="20"/>
          <w:szCs w:val="20"/>
        </w:rPr>
        <w:t xml:space="preserve">el art. 235 del decreto ley </w:t>
      </w:r>
      <w:r w:rsidR="00824E03" w:rsidRPr="001C1B9B">
        <w:rPr>
          <w:rFonts w:ascii="Arial" w:hAnsi="Arial" w:cs="Arial"/>
          <w:sz w:val="20"/>
          <w:szCs w:val="20"/>
        </w:rPr>
        <w:t xml:space="preserve">17.285 del año 1968, </w:t>
      </w:r>
      <w:r w:rsidRPr="001C1B9B">
        <w:rPr>
          <w:rFonts w:ascii="Arial" w:hAnsi="Arial" w:cs="Arial"/>
          <w:sz w:val="20"/>
          <w:szCs w:val="20"/>
        </w:rPr>
        <w:t xml:space="preserve">también lo es que </w:t>
      </w:r>
      <w:r w:rsidR="003E75F3" w:rsidRPr="001C1B9B">
        <w:rPr>
          <w:rFonts w:ascii="Arial" w:hAnsi="Arial" w:cs="Arial"/>
          <w:sz w:val="20"/>
          <w:szCs w:val="20"/>
        </w:rPr>
        <w:t xml:space="preserve">a la postre, </w:t>
      </w:r>
      <w:r w:rsidR="001B51C4" w:rsidRPr="001C1B9B">
        <w:rPr>
          <w:rFonts w:ascii="Arial" w:hAnsi="Arial" w:cs="Arial"/>
          <w:sz w:val="20"/>
          <w:szCs w:val="20"/>
        </w:rPr>
        <w:t>el Congreso N</w:t>
      </w:r>
      <w:r w:rsidRPr="001C1B9B">
        <w:rPr>
          <w:rFonts w:ascii="Arial" w:hAnsi="Arial" w:cs="Arial"/>
          <w:sz w:val="20"/>
          <w:szCs w:val="20"/>
        </w:rPr>
        <w:t xml:space="preserve">acional </w:t>
      </w:r>
      <w:r w:rsidR="003E75F3" w:rsidRPr="001C1B9B">
        <w:rPr>
          <w:rFonts w:ascii="Arial" w:hAnsi="Arial" w:cs="Arial"/>
          <w:sz w:val="20"/>
          <w:szCs w:val="20"/>
        </w:rPr>
        <w:t xml:space="preserve">mediante el dictado de la ley </w:t>
      </w:r>
      <w:r w:rsidR="00824E03" w:rsidRPr="001C1B9B">
        <w:rPr>
          <w:rFonts w:ascii="Arial" w:hAnsi="Arial" w:cs="Arial"/>
          <w:sz w:val="20"/>
          <w:szCs w:val="20"/>
        </w:rPr>
        <w:t xml:space="preserve">20509 </w:t>
      </w:r>
      <w:r w:rsidR="003E75F3" w:rsidRPr="001C1B9B">
        <w:rPr>
          <w:rFonts w:ascii="Arial" w:hAnsi="Arial" w:cs="Arial"/>
          <w:sz w:val="20"/>
          <w:szCs w:val="20"/>
        </w:rPr>
        <w:t xml:space="preserve">determinó que </w:t>
      </w:r>
      <w:r w:rsidR="00824E03" w:rsidRPr="001C1B9B">
        <w:rPr>
          <w:rFonts w:ascii="Arial" w:hAnsi="Arial" w:cs="Arial"/>
          <w:i/>
          <w:sz w:val="20"/>
          <w:szCs w:val="20"/>
        </w:rPr>
        <w:t>“</w:t>
      </w:r>
      <w:r w:rsidR="003E75F3" w:rsidRPr="001C1B9B">
        <w:rPr>
          <w:rFonts w:ascii="Arial" w:hAnsi="Arial" w:cs="Arial"/>
          <w:i/>
          <w:sz w:val="20"/>
          <w:szCs w:val="20"/>
        </w:rPr>
        <w:t>…</w:t>
      </w:r>
      <w:r w:rsidRPr="001C1B9B">
        <w:rPr>
          <w:rFonts w:ascii="Arial" w:hAnsi="Arial" w:cs="Arial"/>
          <w:i/>
          <w:sz w:val="20"/>
          <w:szCs w:val="20"/>
        </w:rPr>
        <w:t xml:space="preserve">A partir de la entrada en vigencia de esta ley perderán toda eficacia las disposiciones por las que se hayan creado o modificado delitos o penas de delitos ya existentes y que no hayan emanado del Congreso Nacional, cualquiera sea el nombre que se le haya dado al acto legisferante por el que se las dictó, salvo lo que dispone el artículo 4º de esta ley. </w:t>
      </w:r>
      <w:r w:rsidRPr="001C1B9B">
        <w:rPr>
          <w:rFonts w:ascii="Arial" w:hAnsi="Arial" w:cs="Arial"/>
          <w:i/>
          <w:sz w:val="20"/>
          <w:szCs w:val="20"/>
          <w:u w:val="single"/>
        </w:rPr>
        <w:t>Aclárase que recuperan su vigencia las normas en vigor al momento de dictarse las que pierden ahora eficacia</w:t>
      </w:r>
      <w:r w:rsidR="003E75F3" w:rsidRPr="001C1B9B">
        <w:rPr>
          <w:rFonts w:ascii="Arial" w:hAnsi="Arial" w:cs="Arial"/>
          <w:i/>
          <w:sz w:val="20"/>
          <w:szCs w:val="20"/>
          <w:u w:val="single"/>
        </w:rPr>
        <w:t>…</w:t>
      </w:r>
      <w:r w:rsidRPr="001C1B9B">
        <w:rPr>
          <w:rFonts w:ascii="Arial" w:hAnsi="Arial" w:cs="Arial"/>
          <w:i/>
          <w:sz w:val="20"/>
          <w:szCs w:val="20"/>
        </w:rPr>
        <w:t>”</w:t>
      </w:r>
      <w:r w:rsidR="003E75F3" w:rsidRPr="001C1B9B">
        <w:rPr>
          <w:rFonts w:ascii="Arial" w:hAnsi="Arial" w:cs="Arial"/>
          <w:i/>
          <w:sz w:val="20"/>
          <w:szCs w:val="20"/>
        </w:rPr>
        <w:t xml:space="preserve"> </w:t>
      </w:r>
      <w:r w:rsidR="003E75F3" w:rsidRPr="001C1B9B">
        <w:rPr>
          <w:rFonts w:ascii="Arial" w:hAnsi="Arial" w:cs="Arial"/>
          <w:sz w:val="20"/>
          <w:szCs w:val="20"/>
        </w:rPr>
        <w:t>(el subrayado me pertenece)</w:t>
      </w:r>
      <w:r w:rsidRPr="001C1B9B">
        <w:rPr>
          <w:rFonts w:ascii="Arial" w:hAnsi="Arial" w:cs="Arial"/>
          <w:i/>
          <w:sz w:val="20"/>
          <w:szCs w:val="20"/>
        </w:rPr>
        <w:t>.</w:t>
      </w:r>
    </w:p>
    <w:p w14:paraId="433C2FBA" w14:textId="77777777" w:rsidR="007501FE" w:rsidRPr="001C1B9B" w:rsidRDefault="003E75F3" w:rsidP="001C1B9B">
      <w:pPr>
        <w:spacing w:line="360" w:lineRule="auto"/>
        <w:ind w:firstLine="708"/>
        <w:jc w:val="both"/>
        <w:rPr>
          <w:rFonts w:ascii="Arial" w:hAnsi="Arial" w:cs="Arial"/>
          <w:sz w:val="20"/>
          <w:szCs w:val="20"/>
        </w:rPr>
      </w:pPr>
      <w:r w:rsidRPr="001C1B9B">
        <w:rPr>
          <w:rFonts w:ascii="Arial" w:hAnsi="Arial" w:cs="Arial"/>
          <w:sz w:val="20"/>
          <w:szCs w:val="20"/>
        </w:rPr>
        <w:lastRenderedPageBreak/>
        <w:t xml:space="preserve">Esa aclaración final destacada en el articulado, resulta esencial a los fines de entender el entramado normativo en el que nos encontramos. </w:t>
      </w:r>
    </w:p>
    <w:p w14:paraId="109FA590" w14:textId="114B18BB" w:rsidR="003E32F9" w:rsidRPr="001C1B9B" w:rsidRDefault="008444B0" w:rsidP="001C1B9B">
      <w:pPr>
        <w:spacing w:line="360" w:lineRule="auto"/>
        <w:ind w:firstLine="708"/>
        <w:jc w:val="both"/>
        <w:rPr>
          <w:rFonts w:ascii="Arial" w:hAnsi="Arial" w:cs="Arial"/>
          <w:i/>
          <w:sz w:val="20"/>
          <w:szCs w:val="20"/>
        </w:rPr>
      </w:pPr>
      <w:r w:rsidRPr="001C1B9B">
        <w:rPr>
          <w:rFonts w:ascii="Arial" w:hAnsi="Arial" w:cs="Arial"/>
          <w:sz w:val="20"/>
          <w:szCs w:val="20"/>
        </w:rPr>
        <w:t>L</w:t>
      </w:r>
      <w:r w:rsidR="00BB3D05" w:rsidRPr="001C1B9B">
        <w:rPr>
          <w:rFonts w:ascii="Arial" w:hAnsi="Arial" w:cs="Arial"/>
          <w:sz w:val="20"/>
          <w:szCs w:val="20"/>
        </w:rPr>
        <w:t xml:space="preserve">os delitos contemplados en </w:t>
      </w:r>
      <w:r w:rsidR="003E32F9" w:rsidRPr="001C1B9B">
        <w:rPr>
          <w:rFonts w:ascii="Arial" w:hAnsi="Arial" w:cs="Arial"/>
          <w:sz w:val="20"/>
          <w:szCs w:val="20"/>
        </w:rPr>
        <w:t>la ley 14.307, derogad</w:t>
      </w:r>
      <w:r w:rsidR="00BB3D05" w:rsidRPr="001C1B9B">
        <w:rPr>
          <w:rFonts w:ascii="Arial" w:hAnsi="Arial" w:cs="Arial"/>
          <w:sz w:val="20"/>
          <w:szCs w:val="20"/>
        </w:rPr>
        <w:t>os</w:t>
      </w:r>
      <w:r w:rsidR="003E32F9" w:rsidRPr="001C1B9B">
        <w:rPr>
          <w:rFonts w:ascii="Arial" w:hAnsi="Arial" w:cs="Arial"/>
          <w:sz w:val="20"/>
          <w:szCs w:val="20"/>
        </w:rPr>
        <w:t xml:space="preserve"> por imperio de</w:t>
      </w:r>
      <w:r w:rsidR="007501FE" w:rsidRPr="001C1B9B">
        <w:rPr>
          <w:rFonts w:ascii="Arial" w:hAnsi="Arial" w:cs="Arial"/>
          <w:sz w:val="20"/>
          <w:szCs w:val="20"/>
        </w:rPr>
        <w:t xml:space="preserve"> </w:t>
      </w:r>
      <w:r w:rsidR="003E32F9" w:rsidRPr="001C1B9B">
        <w:rPr>
          <w:rFonts w:ascii="Arial" w:hAnsi="Arial" w:cs="Arial"/>
          <w:sz w:val="20"/>
          <w:szCs w:val="20"/>
        </w:rPr>
        <w:t>l</w:t>
      </w:r>
      <w:r w:rsidR="007501FE" w:rsidRPr="001C1B9B">
        <w:rPr>
          <w:rFonts w:ascii="Arial" w:hAnsi="Arial" w:cs="Arial"/>
          <w:sz w:val="20"/>
          <w:szCs w:val="20"/>
        </w:rPr>
        <w:t>os</w:t>
      </w:r>
      <w:r w:rsidR="003E32F9" w:rsidRPr="001C1B9B">
        <w:rPr>
          <w:rFonts w:ascii="Arial" w:hAnsi="Arial" w:cs="Arial"/>
          <w:sz w:val="20"/>
          <w:szCs w:val="20"/>
        </w:rPr>
        <w:t xml:space="preserve"> decreto</w:t>
      </w:r>
      <w:r w:rsidR="007501FE" w:rsidRPr="001C1B9B">
        <w:rPr>
          <w:rFonts w:ascii="Arial" w:hAnsi="Arial" w:cs="Arial"/>
          <w:sz w:val="20"/>
          <w:szCs w:val="20"/>
        </w:rPr>
        <w:t>s</w:t>
      </w:r>
      <w:r w:rsidR="003E32F9" w:rsidRPr="001C1B9B">
        <w:rPr>
          <w:rFonts w:ascii="Arial" w:hAnsi="Arial" w:cs="Arial"/>
          <w:sz w:val="20"/>
          <w:szCs w:val="20"/>
        </w:rPr>
        <w:t xml:space="preserve"> ley 17.285 y 17.567, vuelve</w:t>
      </w:r>
      <w:r w:rsidR="00BB3D05" w:rsidRPr="001C1B9B">
        <w:rPr>
          <w:rFonts w:ascii="Arial" w:hAnsi="Arial" w:cs="Arial"/>
          <w:sz w:val="20"/>
          <w:szCs w:val="20"/>
        </w:rPr>
        <w:t>n</w:t>
      </w:r>
      <w:r w:rsidR="003E32F9" w:rsidRPr="001C1B9B">
        <w:rPr>
          <w:rFonts w:ascii="Arial" w:hAnsi="Arial" w:cs="Arial"/>
          <w:sz w:val="20"/>
          <w:szCs w:val="20"/>
        </w:rPr>
        <w:t xml:space="preserve"> a tomar virtualidad ante el mandato que el Congreso Argentino desarrolla en el articulado de la ley 20509. No olvidemos que esta última </w:t>
      </w:r>
      <w:r w:rsidR="001B51C4" w:rsidRPr="001C1B9B">
        <w:rPr>
          <w:rFonts w:ascii="Arial" w:hAnsi="Arial" w:cs="Arial"/>
          <w:sz w:val="20"/>
          <w:szCs w:val="20"/>
        </w:rPr>
        <w:t xml:space="preserve">disposición resulta </w:t>
      </w:r>
      <w:r w:rsidR="003E32F9" w:rsidRPr="001C1B9B">
        <w:rPr>
          <w:rFonts w:ascii="Arial" w:hAnsi="Arial" w:cs="Arial"/>
          <w:sz w:val="20"/>
          <w:szCs w:val="20"/>
        </w:rPr>
        <w:t>una ley ómnibus de reorganización</w:t>
      </w:r>
      <w:r w:rsidR="001D488A" w:rsidRPr="001C1B9B">
        <w:rPr>
          <w:rFonts w:ascii="Arial" w:hAnsi="Arial" w:cs="Arial"/>
          <w:sz w:val="20"/>
          <w:szCs w:val="20"/>
        </w:rPr>
        <w:t xml:space="preserve"> legal y sistemática</w:t>
      </w:r>
      <w:r w:rsidR="003E32F9" w:rsidRPr="001C1B9B">
        <w:rPr>
          <w:rFonts w:ascii="Arial" w:hAnsi="Arial" w:cs="Arial"/>
          <w:sz w:val="20"/>
          <w:szCs w:val="20"/>
        </w:rPr>
        <w:t xml:space="preserve"> de las reglas impuestas por </w:t>
      </w:r>
      <w:r w:rsidR="001B51C4" w:rsidRPr="001C1B9B">
        <w:rPr>
          <w:rFonts w:ascii="Arial" w:hAnsi="Arial" w:cs="Arial"/>
          <w:sz w:val="20"/>
          <w:szCs w:val="20"/>
        </w:rPr>
        <w:t xml:space="preserve">los </w:t>
      </w:r>
      <w:r w:rsidR="003E32F9" w:rsidRPr="001C1B9B">
        <w:rPr>
          <w:rFonts w:ascii="Arial" w:hAnsi="Arial" w:cs="Arial"/>
          <w:sz w:val="20"/>
          <w:szCs w:val="20"/>
        </w:rPr>
        <w:t>gobiernos de facto, y en ese saber el órgano</w:t>
      </w:r>
      <w:r w:rsidR="001B51C4" w:rsidRPr="001C1B9B">
        <w:rPr>
          <w:rFonts w:ascii="Arial" w:hAnsi="Arial" w:cs="Arial"/>
          <w:sz w:val="20"/>
          <w:szCs w:val="20"/>
        </w:rPr>
        <w:t xml:space="preserve"> legisferante optó</w:t>
      </w:r>
      <w:r w:rsidR="003E32F9" w:rsidRPr="001C1B9B">
        <w:rPr>
          <w:rFonts w:ascii="Arial" w:hAnsi="Arial" w:cs="Arial"/>
          <w:sz w:val="20"/>
          <w:szCs w:val="20"/>
        </w:rPr>
        <w:t xml:space="preserve"> por dejar sin efecto </w:t>
      </w:r>
      <w:r w:rsidR="001D03DF" w:rsidRPr="001C1B9B">
        <w:rPr>
          <w:rFonts w:ascii="Arial" w:hAnsi="Arial" w:cs="Arial"/>
          <w:sz w:val="20"/>
          <w:szCs w:val="20"/>
        </w:rPr>
        <w:t>los decreto</w:t>
      </w:r>
      <w:r w:rsidR="00BB3D05" w:rsidRPr="001C1B9B">
        <w:rPr>
          <w:rFonts w:ascii="Arial" w:hAnsi="Arial" w:cs="Arial"/>
          <w:sz w:val="20"/>
          <w:szCs w:val="20"/>
        </w:rPr>
        <w:t>s</w:t>
      </w:r>
      <w:r w:rsidR="001D03DF" w:rsidRPr="001C1B9B">
        <w:rPr>
          <w:rFonts w:ascii="Arial" w:hAnsi="Arial" w:cs="Arial"/>
          <w:sz w:val="20"/>
          <w:szCs w:val="20"/>
        </w:rPr>
        <w:t xml:space="preserve"> ley </w:t>
      </w:r>
      <w:r w:rsidR="003E32F9" w:rsidRPr="001C1B9B">
        <w:rPr>
          <w:rFonts w:ascii="Arial" w:hAnsi="Arial" w:cs="Arial"/>
          <w:sz w:val="20"/>
          <w:szCs w:val="20"/>
        </w:rPr>
        <w:t xml:space="preserve">17.285 y 17.567, </w:t>
      </w:r>
      <w:r w:rsidR="001D03DF" w:rsidRPr="001C1B9B">
        <w:rPr>
          <w:rFonts w:ascii="Arial" w:hAnsi="Arial" w:cs="Arial"/>
          <w:sz w:val="20"/>
          <w:szCs w:val="20"/>
        </w:rPr>
        <w:t xml:space="preserve">brindándole nuevamente fuerza de ley </w:t>
      </w:r>
      <w:r w:rsidR="000F5FFD" w:rsidRPr="001C1B9B">
        <w:rPr>
          <w:rFonts w:ascii="Arial" w:hAnsi="Arial" w:cs="Arial"/>
          <w:sz w:val="20"/>
          <w:szCs w:val="20"/>
        </w:rPr>
        <w:t xml:space="preserve">en materia delictiva </w:t>
      </w:r>
      <w:r w:rsidR="001D03DF" w:rsidRPr="001C1B9B">
        <w:rPr>
          <w:rFonts w:ascii="Arial" w:hAnsi="Arial" w:cs="Arial"/>
          <w:sz w:val="20"/>
          <w:szCs w:val="20"/>
        </w:rPr>
        <w:t>al</w:t>
      </w:r>
      <w:r w:rsidR="001D488A" w:rsidRPr="001C1B9B">
        <w:rPr>
          <w:rFonts w:ascii="Arial" w:hAnsi="Arial" w:cs="Arial"/>
          <w:sz w:val="20"/>
          <w:szCs w:val="20"/>
        </w:rPr>
        <w:t xml:space="preserve"> </w:t>
      </w:r>
      <w:r w:rsidR="001D03DF" w:rsidRPr="001C1B9B">
        <w:rPr>
          <w:rFonts w:ascii="Arial" w:hAnsi="Arial" w:cs="Arial"/>
          <w:sz w:val="20"/>
          <w:szCs w:val="20"/>
        </w:rPr>
        <w:t xml:space="preserve">único </w:t>
      </w:r>
      <w:r w:rsidR="001D488A" w:rsidRPr="001C1B9B">
        <w:rPr>
          <w:rFonts w:ascii="Arial" w:hAnsi="Arial" w:cs="Arial"/>
          <w:sz w:val="20"/>
          <w:szCs w:val="20"/>
        </w:rPr>
        <w:t>compendio legal que</w:t>
      </w:r>
      <w:r w:rsidR="001D03DF" w:rsidRPr="001C1B9B">
        <w:rPr>
          <w:rFonts w:ascii="Arial" w:hAnsi="Arial" w:cs="Arial"/>
          <w:sz w:val="20"/>
          <w:szCs w:val="20"/>
        </w:rPr>
        <w:t xml:space="preserve"> </w:t>
      </w:r>
      <w:r w:rsidR="001D488A" w:rsidRPr="001C1B9B">
        <w:rPr>
          <w:rFonts w:ascii="Arial" w:hAnsi="Arial" w:cs="Arial"/>
          <w:sz w:val="20"/>
          <w:szCs w:val="20"/>
        </w:rPr>
        <w:t>había emanada de la autoridad legislativa pertinente</w:t>
      </w:r>
      <w:r w:rsidR="003E32F9" w:rsidRPr="001C1B9B">
        <w:rPr>
          <w:rFonts w:ascii="Arial" w:hAnsi="Arial" w:cs="Arial"/>
          <w:sz w:val="20"/>
          <w:szCs w:val="20"/>
        </w:rPr>
        <w:t>.</w:t>
      </w:r>
      <w:r w:rsidR="003E32F9" w:rsidRPr="001C1B9B">
        <w:rPr>
          <w:rFonts w:ascii="Arial" w:hAnsi="Arial" w:cs="Arial"/>
          <w:i/>
          <w:sz w:val="20"/>
          <w:szCs w:val="20"/>
        </w:rPr>
        <w:t xml:space="preserve"> </w:t>
      </w:r>
    </w:p>
    <w:p w14:paraId="19B63C04" w14:textId="579ADFF4" w:rsidR="009A516F" w:rsidRPr="001C1B9B" w:rsidRDefault="002F02E0" w:rsidP="001C1B9B">
      <w:pPr>
        <w:spacing w:line="360" w:lineRule="auto"/>
        <w:ind w:firstLine="708"/>
        <w:jc w:val="both"/>
        <w:rPr>
          <w:rFonts w:ascii="Arial" w:hAnsi="Arial" w:cs="Arial"/>
          <w:sz w:val="20"/>
          <w:szCs w:val="20"/>
        </w:rPr>
      </w:pPr>
      <w:r w:rsidRPr="001C1B9B">
        <w:rPr>
          <w:rFonts w:ascii="Arial" w:hAnsi="Arial" w:cs="Arial"/>
          <w:sz w:val="20"/>
          <w:szCs w:val="20"/>
        </w:rPr>
        <w:t xml:space="preserve">Véase incluso que la ley 20.509 establece en su artículo 4 cuales son las únicas </w:t>
      </w:r>
      <w:r w:rsidR="009A516F" w:rsidRPr="001C1B9B">
        <w:rPr>
          <w:rFonts w:ascii="Arial" w:hAnsi="Arial" w:cs="Arial"/>
          <w:sz w:val="20"/>
          <w:szCs w:val="20"/>
        </w:rPr>
        <w:t xml:space="preserve">disposiciones dictadas por el gobierno de facto que </w:t>
      </w:r>
      <w:r w:rsidRPr="001C1B9B">
        <w:rPr>
          <w:rFonts w:ascii="Arial" w:hAnsi="Arial" w:cs="Arial"/>
          <w:sz w:val="20"/>
          <w:szCs w:val="20"/>
        </w:rPr>
        <w:t>mantienen su vigencia desde su dictado (</w:t>
      </w:r>
      <w:r w:rsidR="009A516F" w:rsidRPr="001C1B9B">
        <w:rPr>
          <w:rFonts w:ascii="Arial" w:hAnsi="Arial" w:cs="Arial"/>
          <w:sz w:val="20"/>
          <w:szCs w:val="20"/>
        </w:rPr>
        <w:t>artíc</w:t>
      </w:r>
      <w:r w:rsidRPr="001C1B9B">
        <w:rPr>
          <w:rFonts w:ascii="Arial" w:hAnsi="Arial" w:cs="Arial"/>
          <w:sz w:val="20"/>
          <w:szCs w:val="20"/>
        </w:rPr>
        <w:t>ulos 173, incs. 7º y 11, y 179 -2º párrafo-</w:t>
      </w:r>
      <w:r w:rsidR="009A516F" w:rsidRPr="001C1B9B">
        <w:rPr>
          <w:rFonts w:ascii="Arial" w:hAnsi="Arial" w:cs="Arial"/>
          <w:sz w:val="20"/>
          <w:szCs w:val="20"/>
        </w:rPr>
        <w:t>, 190, 194 y 198 establecidos en el Código Penal por la llamada Ley 17.567 y 175 bis sanci</w:t>
      </w:r>
      <w:r w:rsidRPr="001C1B9B">
        <w:rPr>
          <w:rFonts w:ascii="Arial" w:hAnsi="Arial" w:cs="Arial"/>
          <w:sz w:val="20"/>
          <w:szCs w:val="20"/>
        </w:rPr>
        <w:t xml:space="preserve">onado por la llamada Ley 18.934), y en ese sentido basta señalar que la ley 17.285 no se encuentra allí mencionada, mientras que respecto a la 17.567 solo se mencionan algunos artículos que han sido incorporados al código penal y que desde luego hoy continúan </w:t>
      </w:r>
      <w:r w:rsidR="007501FE" w:rsidRPr="001C1B9B">
        <w:rPr>
          <w:rFonts w:ascii="Arial" w:hAnsi="Arial" w:cs="Arial"/>
          <w:sz w:val="20"/>
          <w:szCs w:val="20"/>
        </w:rPr>
        <w:t>aplicándose con rigor formal</w:t>
      </w:r>
      <w:r w:rsidRPr="001C1B9B">
        <w:rPr>
          <w:rFonts w:ascii="Arial" w:hAnsi="Arial" w:cs="Arial"/>
          <w:sz w:val="20"/>
          <w:szCs w:val="20"/>
        </w:rPr>
        <w:t xml:space="preserve">.  </w:t>
      </w:r>
    </w:p>
    <w:p w14:paraId="3CC53317" w14:textId="6D5D1495" w:rsidR="00BB3D05" w:rsidRPr="001C1B9B" w:rsidRDefault="002F02E0" w:rsidP="001C1B9B">
      <w:pPr>
        <w:spacing w:line="360" w:lineRule="auto"/>
        <w:jc w:val="both"/>
        <w:rPr>
          <w:rFonts w:ascii="Arial" w:hAnsi="Arial" w:cs="Arial"/>
          <w:sz w:val="20"/>
          <w:szCs w:val="20"/>
          <w:lang w:val="es-ES"/>
        </w:rPr>
      </w:pPr>
      <w:r w:rsidRPr="001C1B9B">
        <w:rPr>
          <w:rFonts w:ascii="Arial" w:hAnsi="Arial" w:cs="Arial"/>
          <w:sz w:val="20"/>
          <w:szCs w:val="20"/>
          <w:lang w:val="es-ES"/>
        </w:rPr>
        <w:tab/>
        <w:t>Así entonce</w:t>
      </w:r>
      <w:r w:rsidR="001D03DF" w:rsidRPr="001C1B9B">
        <w:rPr>
          <w:rFonts w:ascii="Arial" w:hAnsi="Arial" w:cs="Arial"/>
          <w:sz w:val="20"/>
          <w:szCs w:val="20"/>
          <w:lang w:val="es-ES"/>
        </w:rPr>
        <w:t>s, considero que fue el propio Congreso N</w:t>
      </w:r>
      <w:r w:rsidRPr="001C1B9B">
        <w:rPr>
          <w:rFonts w:ascii="Arial" w:hAnsi="Arial" w:cs="Arial"/>
          <w:sz w:val="20"/>
          <w:szCs w:val="20"/>
          <w:lang w:val="es-ES"/>
        </w:rPr>
        <w:t xml:space="preserve">acional quien reordenó </w:t>
      </w:r>
      <w:r w:rsidR="008E3BEB" w:rsidRPr="001C1B9B">
        <w:rPr>
          <w:rFonts w:ascii="Arial" w:hAnsi="Arial" w:cs="Arial"/>
          <w:sz w:val="20"/>
          <w:szCs w:val="20"/>
          <w:lang w:val="es-ES"/>
        </w:rPr>
        <w:t>la normativa vinculada al código a</w:t>
      </w:r>
      <w:r w:rsidRPr="001C1B9B">
        <w:rPr>
          <w:rFonts w:ascii="Arial" w:hAnsi="Arial" w:cs="Arial"/>
          <w:sz w:val="20"/>
          <w:szCs w:val="20"/>
          <w:lang w:val="es-ES"/>
        </w:rPr>
        <w:t xml:space="preserve">eronáutico, volviendo a dotar de </w:t>
      </w:r>
      <w:r w:rsidR="007501FE" w:rsidRPr="001C1B9B">
        <w:rPr>
          <w:rFonts w:ascii="Arial" w:hAnsi="Arial" w:cs="Arial"/>
          <w:sz w:val="20"/>
          <w:szCs w:val="20"/>
          <w:lang w:val="es-ES"/>
        </w:rPr>
        <w:t xml:space="preserve">virtualidad </w:t>
      </w:r>
      <w:r w:rsidRPr="001C1B9B">
        <w:rPr>
          <w:rFonts w:ascii="Arial" w:hAnsi="Arial" w:cs="Arial"/>
          <w:sz w:val="20"/>
          <w:szCs w:val="20"/>
          <w:lang w:val="es-ES"/>
        </w:rPr>
        <w:t xml:space="preserve">a la redacción originaria construida en orden a la ley 14.307, quitándole </w:t>
      </w:r>
      <w:r w:rsidR="007501FE" w:rsidRPr="001C1B9B">
        <w:rPr>
          <w:rFonts w:ascii="Arial" w:hAnsi="Arial" w:cs="Arial"/>
          <w:sz w:val="20"/>
          <w:szCs w:val="20"/>
          <w:lang w:val="es-ES"/>
        </w:rPr>
        <w:t>capacidad sancionatoria</w:t>
      </w:r>
      <w:r w:rsidRPr="001C1B9B">
        <w:rPr>
          <w:rFonts w:ascii="Arial" w:hAnsi="Arial" w:cs="Arial"/>
          <w:sz w:val="20"/>
          <w:szCs w:val="20"/>
          <w:lang w:val="es-ES"/>
        </w:rPr>
        <w:t xml:space="preserve"> a las disposiciones que </w:t>
      </w:r>
      <w:r w:rsidR="008444B0" w:rsidRPr="001C1B9B">
        <w:rPr>
          <w:rFonts w:ascii="Arial" w:hAnsi="Arial" w:cs="Arial"/>
          <w:sz w:val="20"/>
          <w:szCs w:val="20"/>
          <w:lang w:val="es-ES"/>
        </w:rPr>
        <w:t>construían tipos penales y fuero</w:t>
      </w:r>
      <w:r w:rsidR="00BB3D05" w:rsidRPr="001C1B9B">
        <w:rPr>
          <w:rFonts w:ascii="Arial" w:hAnsi="Arial" w:cs="Arial"/>
          <w:sz w:val="20"/>
          <w:szCs w:val="20"/>
          <w:lang w:val="es-ES"/>
        </w:rPr>
        <w:t xml:space="preserve">n creadas por los gobiernos </w:t>
      </w:r>
      <w:r w:rsidRPr="001C1B9B">
        <w:rPr>
          <w:rFonts w:ascii="Arial" w:hAnsi="Arial" w:cs="Arial"/>
          <w:sz w:val="20"/>
          <w:szCs w:val="20"/>
          <w:lang w:val="es-ES"/>
        </w:rPr>
        <w:t>militares</w:t>
      </w:r>
      <w:r w:rsidR="00BB3D05" w:rsidRPr="001C1B9B">
        <w:rPr>
          <w:rFonts w:ascii="Arial" w:hAnsi="Arial" w:cs="Arial"/>
          <w:sz w:val="20"/>
          <w:szCs w:val="20"/>
          <w:lang w:val="es-ES"/>
        </w:rPr>
        <w:t xml:space="preserve"> de la época</w:t>
      </w:r>
      <w:r w:rsidRPr="001C1B9B">
        <w:rPr>
          <w:rFonts w:ascii="Arial" w:hAnsi="Arial" w:cs="Arial"/>
          <w:sz w:val="20"/>
          <w:szCs w:val="20"/>
          <w:lang w:val="es-ES"/>
        </w:rPr>
        <w:t>.</w:t>
      </w:r>
      <w:r w:rsidR="008444B0" w:rsidRPr="001C1B9B">
        <w:rPr>
          <w:rFonts w:ascii="Arial" w:hAnsi="Arial" w:cs="Arial"/>
          <w:sz w:val="20"/>
          <w:szCs w:val="20"/>
          <w:lang w:val="es-ES"/>
        </w:rPr>
        <w:t xml:space="preserve"> Incluso, la C.S.J.N. ha resuelto a favor de la vigencia de esta ley al analizar en algún fallo las características típicas del d</w:t>
      </w:r>
      <w:r w:rsidR="008444B0" w:rsidRPr="001C1B9B">
        <w:rPr>
          <w:rFonts w:ascii="Arial" w:hAnsi="Arial" w:cs="Arial"/>
          <w:sz w:val="20"/>
          <w:szCs w:val="20"/>
        </w:rPr>
        <w:t>elito previsto es su art. 194, inc. 1</w:t>
      </w:r>
      <w:r w:rsidR="00DB63E4" w:rsidRPr="001C1B9B">
        <w:rPr>
          <w:rFonts w:ascii="Arial" w:hAnsi="Arial" w:cs="Arial"/>
          <w:sz w:val="20"/>
          <w:szCs w:val="20"/>
        </w:rPr>
        <w:t>.</w:t>
      </w:r>
      <w:r w:rsidR="00DB63E4" w:rsidRPr="001C1B9B">
        <w:rPr>
          <w:rStyle w:val="Refdenotaalpie"/>
          <w:rFonts w:ascii="Arial" w:hAnsi="Arial" w:cs="Arial"/>
          <w:sz w:val="20"/>
          <w:szCs w:val="20"/>
        </w:rPr>
        <w:footnoteReference w:id="6"/>
      </w:r>
      <w:r w:rsidR="008444B0" w:rsidRPr="001C1B9B">
        <w:rPr>
          <w:rFonts w:ascii="Arial" w:hAnsi="Arial" w:cs="Arial"/>
          <w:sz w:val="20"/>
          <w:szCs w:val="20"/>
        </w:rPr>
        <w:t xml:space="preserve"> </w:t>
      </w:r>
    </w:p>
    <w:p w14:paraId="43E4C318" w14:textId="0E7317AB" w:rsidR="00CD7A33" w:rsidRPr="001C1B9B" w:rsidRDefault="00BB3D05" w:rsidP="001C1B9B">
      <w:pPr>
        <w:spacing w:line="360" w:lineRule="auto"/>
        <w:jc w:val="both"/>
        <w:rPr>
          <w:rFonts w:ascii="Arial" w:hAnsi="Arial" w:cs="Arial"/>
          <w:sz w:val="20"/>
          <w:szCs w:val="20"/>
          <w:lang w:val="es-ES"/>
        </w:rPr>
      </w:pPr>
      <w:r w:rsidRPr="001C1B9B">
        <w:rPr>
          <w:rFonts w:ascii="Arial" w:hAnsi="Arial" w:cs="Arial"/>
          <w:sz w:val="20"/>
          <w:szCs w:val="20"/>
          <w:lang w:val="es-ES"/>
        </w:rPr>
        <w:tab/>
      </w:r>
      <w:r w:rsidR="008E3BEB" w:rsidRPr="001C1B9B">
        <w:rPr>
          <w:rFonts w:ascii="Arial" w:hAnsi="Arial" w:cs="Arial"/>
          <w:sz w:val="20"/>
          <w:szCs w:val="20"/>
          <w:lang w:val="es-ES"/>
        </w:rPr>
        <w:t>Que entonces</w:t>
      </w:r>
      <w:r w:rsidRPr="001C1B9B">
        <w:rPr>
          <w:rFonts w:ascii="Arial" w:hAnsi="Arial" w:cs="Arial"/>
          <w:sz w:val="20"/>
          <w:szCs w:val="20"/>
          <w:lang w:val="es-ES"/>
        </w:rPr>
        <w:t xml:space="preserve">, </w:t>
      </w:r>
      <w:r w:rsidR="00CD7A33" w:rsidRPr="001C1B9B">
        <w:rPr>
          <w:rFonts w:ascii="Arial" w:hAnsi="Arial" w:cs="Arial"/>
          <w:sz w:val="20"/>
          <w:szCs w:val="20"/>
          <w:lang w:val="es-ES"/>
        </w:rPr>
        <w:t xml:space="preserve">los </w:t>
      </w:r>
      <w:r w:rsidR="007501FE" w:rsidRPr="001C1B9B">
        <w:rPr>
          <w:rFonts w:ascii="Arial" w:hAnsi="Arial" w:cs="Arial"/>
          <w:sz w:val="20"/>
          <w:szCs w:val="20"/>
          <w:lang w:val="es-ES"/>
        </w:rPr>
        <w:t xml:space="preserve">delitos </w:t>
      </w:r>
      <w:r w:rsidR="00CD7A33" w:rsidRPr="001C1B9B">
        <w:rPr>
          <w:rFonts w:ascii="Arial" w:hAnsi="Arial" w:cs="Arial"/>
          <w:sz w:val="20"/>
          <w:szCs w:val="20"/>
          <w:lang w:val="es-ES"/>
        </w:rPr>
        <w:t>con</w:t>
      </w:r>
      <w:r w:rsidR="008E3BEB" w:rsidRPr="001C1B9B">
        <w:rPr>
          <w:rFonts w:ascii="Arial" w:hAnsi="Arial" w:cs="Arial"/>
          <w:sz w:val="20"/>
          <w:szCs w:val="20"/>
        </w:rPr>
        <w:t>tenidos en el título XIII</w:t>
      </w:r>
      <w:r w:rsidR="00CD7A33" w:rsidRPr="001C1B9B">
        <w:rPr>
          <w:rFonts w:ascii="Arial" w:hAnsi="Arial" w:cs="Arial"/>
          <w:sz w:val="20"/>
          <w:szCs w:val="20"/>
        </w:rPr>
        <w:t xml:space="preserve"> capítulo II de la ley 17.285 han quedado derogados de nuestro sistema jurídico, no siendo ley valida en la que pueda fundarse un reproche penal en orden a las conductas allí descriptas.</w:t>
      </w:r>
    </w:p>
    <w:p w14:paraId="362C7D18" w14:textId="1F02BCDF" w:rsidR="008444B0" w:rsidRPr="001C1B9B" w:rsidRDefault="005D5ADB" w:rsidP="001C1B9B">
      <w:pPr>
        <w:spacing w:line="360" w:lineRule="auto"/>
        <w:jc w:val="both"/>
        <w:rPr>
          <w:rFonts w:ascii="Arial" w:hAnsi="Arial" w:cs="Arial"/>
          <w:sz w:val="20"/>
          <w:szCs w:val="20"/>
          <w:lang w:val="es-ES"/>
        </w:rPr>
      </w:pPr>
      <w:r w:rsidRPr="001C1B9B">
        <w:rPr>
          <w:rFonts w:ascii="Arial" w:hAnsi="Arial" w:cs="Arial"/>
          <w:sz w:val="20"/>
          <w:szCs w:val="20"/>
          <w:lang w:val="es-ES"/>
        </w:rPr>
        <w:tab/>
        <w:t>Por ello, soy de la idea que las actividades descriptas en el Titulo XVI Capitulo II de la ley 14.307 son las únicas conductas disvaliosas por las cuales una persona podrá ser enjuiciada en nuestro país, pues los comportamientos allí mencionados devienen ser aquellos que el legislador nacional ha entendido que importan un accionar disvalioso que de</w:t>
      </w:r>
      <w:r w:rsidR="008444B0" w:rsidRPr="001C1B9B">
        <w:rPr>
          <w:rFonts w:ascii="Arial" w:hAnsi="Arial" w:cs="Arial"/>
          <w:sz w:val="20"/>
          <w:szCs w:val="20"/>
          <w:lang w:val="es-ES"/>
        </w:rPr>
        <w:t>be ser jurídicamente reprochado.</w:t>
      </w:r>
    </w:p>
    <w:p w14:paraId="674F6BC7" w14:textId="1F0641AB" w:rsidR="00D855EC" w:rsidRPr="001C1B9B" w:rsidRDefault="00D855EC" w:rsidP="001C1B9B">
      <w:pPr>
        <w:spacing w:line="360" w:lineRule="auto"/>
        <w:jc w:val="both"/>
        <w:rPr>
          <w:rFonts w:ascii="Arial" w:hAnsi="Arial" w:cs="Arial"/>
          <w:sz w:val="20"/>
          <w:szCs w:val="20"/>
          <w:lang w:val="es-ES"/>
        </w:rPr>
      </w:pPr>
    </w:p>
    <w:p w14:paraId="6394BA86" w14:textId="285820D5" w:rsidR="004C26C6" w:rsidRPr="001C1B9B" w:rsidRDefault="001D488A" w:rsidP="001C1B9B">
      <w:pPr>
        <w:spacing w:line="240" w:lineRule="auto"/>
        <w:ind w:left="705"/>
        <w:jc w:val="both"/>
        <w:rPr>
          <w:rFonts w:ascii="Arial" w:hAnsi="Arial" w:cs="Arial"/>
          <w:b/>
          <w:sz w:val="20"/>
          <w:szCs w:val="20"/>
          <w:lang w:val="es-ES"/>
        </w:rPr>
      </w:pPr>
      <w:r w:rsidRPr="001C1B9B">
        <w:rPr>
          <w:rFonts w:ascii="Arial" w:hAnsi="Arial" w:cs="Arial"/>
          <w:b/>
          <w:sz w:val="20"/>
          <w:szCs w:val="20"/>
          <w:lang w:val="es-ES"/>
        </w:rPr>
        <w:t>5.</w:t>
      </w:r>
      <w:r w:rsidR="00EB1023" w:rsidRPr="001C1B9B">
        <w:rPr>
          <w:rFonts w:ascii="Arial" w:hAnsi="Arial" w:cs="Arial"/>
          <w:b/>
          <w:sz w:val="20"/>
          <w:szCs w:val="20"/>
          <w:lang w:val="es-ES"/>
        </w:rPr>
        <w:t xml:space="preserve"> </w:t>
      </w:r>
      <w:r w:rsidR="004C26C6" w:rsidRPr="001C1B9B">
        <w:rPr>
          <w:rFonts w:ascii="Arial" w:hAnsi="Arial" w:cs="Arial"/>
          <w:b/>
          <w:sz w:val="20"/>
          <w:szCs w:val="20"/>
          <w:lang w:val="es-ES"/>
        </w:rPr>
        <w:t>Conclusión</w:t>
      </w:r>
    </w:p>
    <w:p w14:paraId="529D5EF6" w14:textId="77777777" w:rsidR="008444B0" w:rsidRPr="001C1B9B" w:rsidRDefault="008444B0" w:rsidP="001C1B9B">
      <w:pPr>
        <w:spacing w:line="360" w:lineRule="auto"/>
        <w:ind w:firstLine="703"/>
        <w:jc w:val="both"/>
        <w:rPr>
          <w:rFonts w:ascii="Arial" w:hAnsi="Arial" w:cs="Arial"/>
          <w:sz w:val="20"/>
          <w:szCs w:val="20"/>
          <w:lang w:val="es-ES"/>
        </w:rPr>
      </w:pPr>
      <w:r w:rsidRPr="001C1B9B">
        <w:rPr>
          <w:rFonts w:ascii="Arial" w:hAnsi="Arial" w:cs="Arial"/>
          <w:sz w:val="20"/>
          <w:szCs w:val="20"/>
          <w:lang w:val="es-ES"/>
        </w:rPr>
        <w:lastRenderedPageBreak/>
        <w:t xml:space="preserve">Sin duda alguna, las idas y vueltas que se han sucedido a lo largo del tiempo producen una incertidumbre que debe ser resuelta a la brevedad por el Estado Argentino. </w:t>
      </w:r>
    </w:p>
    <w:p w14:paraId="085E30EA" w14:textId="6F039392" w:rsidR="008444B0" w:rsidRPr="001C1B9B" w:rsidRDefault="008444B0" w:rsidP="001C1B9B">
      <w:pPr>
        <w:spacing w:line="360" w:lineRule="auto"/>
        <w:ind w:firstLine="705"/>
        <w:jc w:val="both"/>
        <w:rPr>
          <w:rFonts w:ascii="Arial" w:hAnsi="Arial" w:cs="Arial"/>
          <w:sz w:val="20"/>
          <w:szCs w:val="20"/>
          <w:lang w:val="es-ES"/>
        </w:rPr>
      </w:pPr>
      <w:r w:rsidRPr="001C1B9B">
        <w:rPr>
          <w:rFonts w:ascii="Arial" w:hAnsi="Arial" w:cs="Arial"/>
          <w:sz w:val="20"/>
          <w:szCs w:val="20"/>
        </w:rPr>
        <w:t>El conflicto legislativo ha generado una situación de incertidumbre jurídica que afecta tanto a operadores del derecho como a ciudadanos en general. La falta de claridad respecto a qué normativa prevalece en casos de conductas delictivas en el ámbito aeronáutico ha dado lugar a interpretaciones dispares por parte de los tribunales, generando inseguridad jurídica y dificultando la aplicación coherente de la ley.</w:t>
      </w:r>
    </w:p>
    <w:p w14:paraId="7F3B4749" w14:textId="56B9AA7A" w:rsidR="008444B0" w:rsidRPr="001C1B9B" w:rsidRDefault="008444B0" w:rsidP="001C1B9B">
      <w:pPr>
        <w:spacing w:line="360" w:lineRule="auto"/>
        <w:ind w:firstLine="705"/>
        <w:jc w:val="both"/>
        <w:rPr>
          <w:rFonts w:ascii="Arial" w:hAnsi="Arial" w:cs="Arial"/>
          <w:sz w:val="20"/>
          <w:szCs w:val="20"/>
          <w:lang w:val="es-ES"/>
        </w:rPr>
      </w:pPr>
      <w:r w:rsidRPr="001C1B9B">
        <w:rPr>
          <w:rFonts w:ascii="Arial" w:hAnsi="Arial" w:cs="Arial"/>
          <w:sz w:val="20"/>
          <w:szCs w:val="20"/>
          <w:lang w:val="es-ES"/>
        </w:rPr>
        <w:t>Hace años que la doctrina especializada afirma con insistencia que nos encontramos ante un cuerpo normativo con muchos años de vigencia, el cual tiene características obsoletas en muchas de sus áreas, lo cual aleja de la realidad a las pautas allí consagradas</w:t>
      </w:r>
      <w:r w:rsidRPr="001C1B9B">
        <w:rPr>
          <w:rStyle w:val="Refdenotaalpie"/>
          <w:rFonts w:ascii="Arial" w:hAnsi="Arial" w:cs="Arial"/>
          <w:sz w:val="20"/>
          <w:szCs w:val="20"/>
          <w:lang w:val="es-ES"/>
        </w:rPr>
        <w:footnoteReference w:id="7"/>
      </w:r>
      <w:r w:rsidRPr="001C1B9B">
        <w:rPr>
          <w:rFonts w:ascii="Arial" w:hAnsi="Arial" w:cs="Arial"/>
          <w:sz w:val="20"/>
          <w:szCs w:val="20"/>
          <w:lang w:val="es-ES"/>
        </w:rPr>
        <w:t xml:space="preserve">. </w:t>
      </w:r>
    </w:p>
    <w:p w14:paraId="1A46352B" w14:textId="77777777" w:rsidR="008444B0" w:rsidRPr="001C1B9B" w:rsidRDefault="008444B0" w:rsidP="001C1B9B">
      <w:pPr>
        <w:spacing w:line="360" w:lineRule="auto"/>
        <w:ind w:firstLine="705"/>
        <w:jc w:val="both"/>
        <w:rPr>
          <w:rFonts w:ascii="Arial" w:hAnsi="Arial" w:cs="Arial"/>
          <w:sz w:val="20"/>
          <w:szCs w:val="20"/>
        </w:rPr>
      </w:pPr>
      <w:r w:rsidRPr="001C1B9B">
        <w:rPr>
          <w:rFonts w:ascii="Arial" w:hAnsi="Arial" w:cs="Arial"/>
          <w:sz w:val="20"/>
          <w:szCs w:val="20"/>
        </w:rPr>
        <w:t>Es imprescindible que los legisladores aborden esta cuestión con prontitud, desarrollando una legislación clara, coherente y actualizada que brinde un marco jurídico sólido para regular la actividad aeronáutica y perseguir eficazmente los delitos cometidos en este ámbito. Esta reforma debería tener en cuenta las disposiciones internacionales relevantes, así como las mejores prácticas en derecho aeronáutico, garantizando al mismo tiempo el respeto por los derechos humanos y las libertades individuales.</w:t>
      </w:r>
    </w:p>
    <w:p w14:paraId="12726700" w14:textId="1CC9DA83" w:rsidR="008444B0" w:rsidRPr="001C1B9B" w:rsidRDefault="008444B0" w:rsidP="001C1B9B">
      <w:pPr>
        <w:spacing w:line="360" w:lineRule="auto"/>
        <w:ind w:firstLine="705"/>
        <w:jc w:val="both"/>
        <w:rPr>
          <w:rFonts w:ascii="Arial" w:hAnsi="Arial" w:cs="Arial"/>
          <w:sz w:val="20"/>
          <w:szCs w:val="20"/>
        </w:rPr>
      </w:pPr>
      <w:r w:rsidRPr="001C1B9B">
        <w:rPr>
          <w:rFonts w:ascii="Arial" w:hAnsi="Arial" w:cs="Arial"/>
          <w:sz w:val="20"/>
          <w:szCs w:val="20"/>
        </w:rPr>
        <w:t>Además, será fundamental involucrar a expertos en derecho aeronáutico, jueces, fiscales y otros actores relevantes en el proceso de reforma legislativa, asegurando así que las nuevas disposiciones sean adecuadas, efectivas y justas. Esta colaboración interdisciplinaria permitirá abordar las complejidades técnicas y jurídicas inherentes a la regulación de la actividad, promoviendo la transparencia y la legitimidad del proceso regulatorio.</w:t>
      </w:r>
    </w:p>
    <w:p w14:paraId="49E61D34" w14:textId="35C33B5D" w:rsidR="008444B0" w:rsidRPr="001C1B9B" w:rsidRDefault="008444B0" w:rsidP="001C1B9B">
      <w:pPr>
        <w:spacing w:line="360" w:lineRule="auto"/>
        <w:ind w:firstLine="705"/>
        <w:jc w:val="both"/>
        <w:rPr>
          <w:rFonts w:ascii="Arial" w:hAnsi="Arial" w:cs="Arial"/>
          <w:sz w:val="20"/>
          <w:szCs w:val="20"/>
        </w:rPr>
      </w:pPr>
      <w:r w:rsidRPr="001C1B9B">
        <w:rPr>
          <w:rFonts w:ascii="Arial" w:hAnsi="Arial" w:cs="Arial"/>
          <w:sz w:val="20"/>
          <w:szCs w:val="20"/>
        </w:rPr>
        <w:t>En resumen, una reforma legislativa inmediata en materia de delitos aeronáuticos es esencial para garantizar la seguridad jurídica, promover el Estado de derecho y proteger los derechos de todos los ciudadanos. Solo mediante una legislación clara, coherente y actualizada podemos construir un sistema jurídico sólido y efectivo que dote de reglas claras al ámbito aeronáutico.</w:t>
      </w:r>
    </w:p>
    <w:p w14:paraId="6F22A6B4" w14:textId="77777777" w:rsidR="00652894" w:rsidRPr="001C1B9B" w:rsidRDefault="00652894" w:rsidP="001C1B9B">
      <w:pPr>
        <w:spacing w:line="360" w:lineRule="auto"/>
        <w:ind w:firstLine="705"/>
        <w:jc w:val="both"/>
        <w:rPr>
          <w:rFonts w:ascii="Arial" w:hAnsi="Arial" w:cs="Arial"/>
          <w:sz w:val="20"/>
          <w:szCs w:val="20"/>
          <w:lang w:val="es-ES"/>
        </w:rPr>
      </w:pPr>
    </w:p>
    <w:p w14:paraId="0A8B22BD" w14:textId="77777777" w:rsidR="008444B0" w:rsidRPr="001C1B9B" w:rsidRDefault="008444B0" w:rsidP="001C1B9B">
      <w:pPr>
        <w:spacing w:line="360" w:lineRule="auto"/>
        <w:ind w:firstLine="705"/>
        <w:jc w:val="both"/>
        <w:rPr>
          <w:rFonts w:ascii="Arial" w:hAnsi="Arial" w:cs="Arial"/>
          <w:sz w:val="20"/>
          <w:szCs w:val="20"/>
          <w:lang w:val="es-ES"/>
        </w:rPr>
      </w:pPr>
    </w:p>
    <w:p w14:paraId="72A47614" w14:textId="77777777" w:rsidR="00306323" w:rsidRDefault="00306323">
      <w:pPr>
        <w:rPr>
          <w:rFonts w:ascii="Arial" w:hAnsi="Arial" w:cs="Arial"/>
          <w:b/>
          <w:sz w:val="20"/>
          <w:szCs w:val="20"/>
          <w:lang w:val="es-ES"/>
        </w:rPr>
      </w:pPr>
      <w:r>
        <w:rPr>
          <w:rFonts w:ascii="Arial" w:hAnsi="Arial" w:cs="Arial"/>
          <w:b/>
          <w:sz w:val="20"/>
          <w:szCs w:val="20"/>
          <w:lang w:val="es-ES"/>
        </w:rPr>
        <w:br w:type="page"/>
      </w:r>
    </w:p>
    <w:p w14:paraId="2280DAF4" w14:textId="7133FE02" w:rsidR="00D56660" w:rsidRPr="0085360C" w:rsidRDefault="00491023" w:rsidP="0085360C">
      <w:pPr>
        <w:spacing w:line="360" w:lineRule="auto"/>
        <w:ind w:firstLine="705"/>
        <w:jc w:val="both"/>
        <w:rPr>
          <w:rFonts w:ascii="Arial" w:hAnsi="Arial" w:cs="Arial"/>
          <w:b/>
          <w:sz w:val="20"/>
          <w:szCs w:val="20"/>
          <w:lang w:val="es-ES"/>
        </w:rPr>
      </w:pPr>
      <w:r w:rsidRPr="0085360C">
        <w:rPr>
          <w:rFonts w:ascii="Arial" w:hAnsi="Arial" w:cs="Arial"/>
          <w:b/>
          <w:sz w:val="20"/>
          <w:szCs w:val="20"/>
          <w:lang w:val="es-ES"/>
        </w:rPr>
        <w:lastRenderedPageBreak/>
        <w:t>Bibliografía</w:t>
      </w:r>
    </w:p>
    <w:p w14:paraId="07F1D666" w14:textId="77777777" w:rsidR="00931054" w:rsidRPr="00931054" w:rsidRDefault="00931054" w:rsidP="001C04DA">
      <w:pPr>
        <w:spacing w:line="360" w:lineRule="auto"/>
        <w:ind w:left="1066" w:hanging="709"/>
        <w:jc w:val="both"/>
        <w:rPr>
          <w:rFonts w:ascii="Arial" w:hAnsi="Arial" w:cs="Arial"/>
          <w:sz w:val="20"/>
          <w:szCs w:val="20"/>
          <w:lang w:val="es-ES"/>
        </w:rPr>
      </w:pPr>
      <w:proofErr w:type="spellStart"/>
      <w:r w:rsidRPr="00931054">
        <w:rPr>
          <w:rFonts w:ascii="Arial" w:hAnsi="Arial" w:cs="Arial"/>
          <w:sz w:val="20"/>
          <w:szCs w:val="20"/>
          <w:lang w:val="es-ES"/>
        </w:rPr>
        <w:t>Arrola</w:t>
      </w:r>
      <w:proofErr w:type="spellEnd"/>
      <w:r w:rsidRPr="00931054">
        <w:rPr>
          <w:rFonts w:ascii="Arial" w:hAnsi="Arial" w:cs="Arial"/>
          <w:sz w:val="20"/>
          <w:szCs w:val="20"/>
          <w:lang w:val="es-ES"/>
        </w:rPr>
        <w:t xml:space="preserve"> de </w:t>
      </w:r>
      <w:proofErr w:type="spellStart"/>
      <w:r w:rsidRPr="00931054">
        <w:rPr>
          <w:rFonts w:ascii="Arial" w:hAnsi="Arial" w:cs="Arial"/>
          <w:sz w:val="20"/>
          <w:szCs w:val="20"/>
          <w:lang w:val="es-ES"/>
        </w:rPr>
        <w:t>Galandrini</w:t>
      </w:r>
      <w:proofErr w:type="spellEnd"/>
      <w:r w:rsidRPr="00931054">
        <w:rPr>
          <w:rFonts w:ascii="Arial" w:hAnsi="Arial" w:cs="Arial"/>
          <w:sz w:val="20"/>
          <w:szCs w:val="20"/>
          <w:lang w:val="es-ES"/>
        </w:rPr>
        <w:t>, G. (1997). Derecho aeronáutico. Mar del Plata: Suárez.</w:t>
      </w:r>
    </w:p>
    <w:p w14:paraId="5222F53A" w14:textId="702E6430" w:rsidR="00931054" w:rsidRPr="00491023" w:rsidRDefault="00931054" w:rsidP="001C04DA">
      <w:pPr>
        <w:spacing w:line="360" w:lineRule="auto"/>
        <w:ind w:left="1066" w:hanging="709"/>
        <w:jc w:val="both"/>
        <w:rPr>
          <w:rFonts w:ascii="Arial" w:hAnsi="Arial" w:cs="Arial"/>
          <w:sz w:val="20"/>
          <w:szCs w:val="20"/>
          <w:lang w:val="es-ES"/>
        </w:rPr>
      </w:pPr>
      <w:proofErr w:type="spellStart"/>
      <w:r w:rsidRPr="00491023">
        <w:rPr>
          <w:rFonts w:ascii="Arial" w:hAnsi="Arial" w:cs="Arial"/>
          <w:sz w:val="20"/>
          <w:szCs w:val="20"/>
          <w:lang w:val="es-ES"/>
        </w:rPr>
        <w:t>Balian</w:t>
      </w:r>
      <w:proofErr w:type="spellEnd"/>
      <w:r w:rsidRPr="00491023">
        <w:rPr>
          <w:rFonts w:ascii="Arial" w:hAnsi="Arial" w:cs="Arial"/>
          <w:sz w:val="20"/>
          <w:szCs w:val="20"/>
          <w:lang w:val="es-ES"/>
        </w:rPr>
        <w:t xml:space="preserve">, </w:t>
      </w:r>
      <w:r w:rsidR="00BF6BE8">
        <w:rPr>
          <w:rFonts w:ascii="Arial" w:hAnsi="Arial" w:cs="Arial"/>
          <w:sz w:val="20"/>
          <w:szCs w:val="20"/>
          <w:lang w:val="es-ES"/>
        </w:rPr>
        <w:t>E</w:t>
      </w:r>
      <w:r w:rsidRPr="00491023">
        <w:rPr>
          <w:rFonts w:ascii="Arial" w:hAnsi="Arial" w:cs="Arial"/>
          <w:sz w:val="20"/>
          <w:szCs w:val="20"/>
          <w:lang w:val="es-ES"/>
        </w:rPr>
        <w:t>. (2013). </w:t>
      </w:r>
      <w:r w:rsidRPr="00491023">
        <w:rPr>
          <w:rFonts w:ascii="Arial" w:hAnsi="Arial" w:cs="Arial"/>
          <w:i/>
          <w:iCs/>
          <w:sz w:val="20"/>
          <w:szCs w:val="20"/>
          <w:lang w:val="es-ES"/>
        </w:rPr>
        <w:t>Código Aeronáutico</w:t>
      </w:r>
      <w:r w:rsidRPr="00491023">
        <w:rPr>
          <w:rFonts w:ascii="Arial" w:hAnsi="Arial" w:cs="Arial"/>
          <w:sz w:val="20"/>
          <w:szCs w:val="20"/>
          <w:lang w:val="es-ES"/>
        </w:rPr>
        <w:t>. Astrea: Buenos Aires.</w:t>
      </w:r>
    </w:p>
    <w:p w14:paraId="3D2E0BAB" w14:textId="29A04281" w:rsidR="00931054" w:rsidRPr="00931054" w:rsidRDefault="00931054" w:rsidP="001C04DA">
      <w:pPr>
        <w:spacing w:line="360" w:lineRule="auto"/>
        <w:ind w:left="1066" w:hanging="709"/>
        <w:jc w:val="both"/>
        <w:rPr>
          <w:rFonts w:ascii="Arial" w:hAnsi="Arial" w:cs="Arial"/>
          <w:sz w:val="20"/>
          <w:szCs w:val="20"/>
          <w:lang w:val="es-ES"/>
        </w:rPr>
      </w:pPr>
      <w:r w:rsidRPr="00931054">
        <w:rPr>
          <w:rFonts w:ascii="Arial" w:hAnsi="Arial" w:cs="Arial"/>
          <w:sz w:val="20"/>
          <w:szCs w:val="20"/>
          <w:lang w:val="es-ES"/>
        </w:rPr>
        <w:t>Cámara Federal de Apelaciones de Mar del Plata. (30 de noviembre de 2023). Legajo de actuaciones complementarias de Saramaga, Daniel Jorge (Causa N.º C.N. 108/2019/4/CA2).</w:t>
      </w:r>
    </w:p>
    <w:p w14:paraId="6A58E7AF" w14:textId="77777777" w:rsidR="00931054" w:rsidRPr="00931054" w:rsidRDefault="00931054" w:rsidP="001C04DA">
      <w:pPr>
        <w:spacing w:line="360" w:lineRule="auto"/>
        <w:ind w:left="1066" w:hanging="709"/>
        <w:jc w:val="both"/>
        <w:rPr>
          <w:rFonts w:ascii="Arial" w:hAnsi="Arial" w:cs="Arial"/>
          <w:sz w:val="20"/>
          <w:szCs w:val="20"/>
          <w:lang w:val="es-ES"/>
        </w:rPr>
      </w:pPr>
      <w:r w:rsidRPr="00931054">
        <w:rPr>
          <w:rFonts w:ascii="Arial" w:hAnsi="Arial" w:cs="Arial"/>
          <w:sz w:val="20"/>
          <w:szCs w:val="20"/>
          <w:lang w:val="es-ES"/>
        </w:rPr>
        <w:t>Cámara Nacional de Casación Penal. (2018). Fernández, Santiago s/suspensión de proceso a prueba (Causa N.º C.N. 4666/2018).</w:t>
      </w:r>
    </w:p>
    <w:p w14:paraId="437E3764" w14:textId="34E7AEC4" w:rsidR="00931054" w:rsidRPr="00931054" w:rsidRDefault="00931054" w:rsidP="001C04DA">
      <w:pPr>
        <w:spacing w:line="360" w:lineRule="auto"/>
        <w:ind w:left="1066" w:hanging="709"/>
        <w:jc w:val="both"/>
        <w:rPr>
          <w:rFonts w:ascii="Arial" w:hAnsi="Arial" w:cs="Arial"/>
          <w:sz w:val="20"/>
          <w:szCs w:val="20"/>
          <w:lang w:val="es-ES"/>
        </w:rPr>
      </w:pPr>
      <w:r w:rsidRPr="00491023">
        <w:rPr>
          <w:rFonts w:ascii="Arial" w:hAnsi="Arial" w:cs="Arial"/>
          <w:sz w:val="20"/>
          <w:szCs w:val="20"/>
          <w:lang w:val="es-ES"/>
        </w:rPr>
        <w:t>Corte Suprema de Justicia de la Nación (CSJN)</w:t>
      </w:r>
      <w:r>
        <w:rPr>
          <w:rFonts w:ascii="Arial" w:hAnsi="Arial" w:cs="Arial"/>
          <w:sz w:val="20"/>
          <w:szCs w:val="20"/>
          <w:lang w:val="es-ES"/>
        </w:rPr>
        <w:t>, 27/10/</w:t>
      </w:r>
      <w:r w:rsidRPr="00491023">
        <w:rPr>
          <w:rFonts w:ascii="Arial" w:hAnsi="Arial" w:cs="Arial"/>
          <w:sz w:val="20"/>
          <w:szCs w:val="20"/>
          <w:lang w:val="es-ES"/>
        </w:rPr>
        <w:t>1988</w:t>
      </w:r>
      <w:r>
        <w:rPr>
          <w:rFonts w:ascii="Arial" w:hAnsi="Arial" w:cs="Arial"/>
          <w:sz w:val="20"/>
          <w:szCs w:val="20"/>
          <w:lang w:val="es-ES"/>
        </w:rPr>
        <w:t xml:space="preserve">, </w:t>
      </w:r>
      <w:r w:rsidRPr="00491023">
        <w:rPr>
          <w:rFonts w:ascii="Arial" w:hAnsi="Arial" w:cs="Arial"/>
          <w:sz w:val="20"/>
          <w:szCs w:val="20"/>
          <w:lang w:val="es-ES"/>
        </w:rPr>
        <w:t>C.N. 924. Id SAIJ: FA88000635.</w:t>
      </w:r>
    </w:p>
    <w:p w14:paraId="5C1FD4C3" w14:textId="6B656031" w:rsidR="00931054" w:rsidRPr="00931054" w:rsidRDefault="00931054" w:rsidP="001C04DA">
      <w:pPr>
        <w:spacing w:line="360" w:lineRule="auto"/>
        <w:ind w:left="1066" w:hanging="709"/>
        <w:jc w:val="both"/>
        <w:rPr>
          <w:rFonts w:ascii="Arial" w:hAnsi="Arial" w:cs="Arial"/>
          <w:sz w:val="20"/>
          <w:szCs w:val="20"/>
          <w:lang w:val="es-ES"/>
        </w:rPr>
      </w:pPr>
      <w:proofErr w:type="spellStart"/>
      <w:r w:rsidRPr="00931054">
        <w:rPr>
          <w:rFonts w:ascii="Arial" w:hAnsi="Arial" w:cs="Arial"/>
          <w:sz w:val="20"/>
          <w:szCs w:val="20"/>
          <w:lang w:val="es-ES"/>
        </w:rPr>
        <w:t>Folchi</w:t>
      </w:r>
      <w:proofErr w:type="spellEnd"/>
      <w:r w:rsidRPr="00931054">
        <w:rPr>
          <w:rFonts w:ascii="Arial" w:hAnsi="Arial" w:cs="Arial"/>
          <w:sz w:val="20"/>
          <w:szCs w:val="20"/>
          <w:lang w:val="es-ES"/>
        </w:rPr>
        <w:t xml:space="preserve">, M. (22 de julio de 2015). Los delitos aeronáuticos en el Código Aeronáutico Argentino. Recuperado de </w:t>
      </w:r>
      <w:hyperlink r:id="rId8" w:history="1">
        <w:r w:rsidR="00AF2300" w:rsidRPr="00900025">
          <w:rPr>
            <w:rStyle w:val="Hipervnculo"/>
            <w:rFonts w:ascii="Arial" w:hAnsi="Arial" w:cs="Arial"/>
            <w:sz w:val="20"/>
            <w:szCs w:val="20"/>
            <w:lang w:val="es-ES"/>
          </w:rPr>
          <w:t>https://cedaeonline.com.ar/2015/07/22/los-delitos-aeronauticos-en-el-codigo-aeronautico-argentino/</w:t>
        </w:r>
      </w:hyperlink>
      <w:r w:rsidR="00AF2300">
        <w:rPr>
          <w:rFonts w:ascii="Arial" w:hAnsi="Arial" w:cs="Arial"/>
          <w:sz w:val="20"/>
          <w:szCs w:val="20"/>
          <w:lang w:val="es-ES"/>
        </w:rPr>
        <w:t xml:space="preserve"> </w:t>
      </w:r>
    </w:p>
    <w:p w14:paraId="06F5F32D" w14:textId="75168C07" w:rsidR="00931054" w:rsidRPr="00491023" w:rsidRDefault="007B65C5" w:rsidP="001C04DA">
      <w:pPr>
        <w:spacing w:line="360" w:lineRule="auto"/>
        <w:ind w:left="1066" w:hanging="709"/>
        <w:jc w:val="both"/>
        <w:rPr>
          <w:rFonts w:ascii="Arial" w:hAnsi="Arial" w:cs="Arial"/>
          <w:sz w:val="20"/>
          <w:szCs w:val="20"/>
          <w:lang w:val="es-ES"/>
        </w:rPr>
      </w:pPr>
      <w:r w:rsidRPr="007B65C5">
        <w:rPr>
          <w:rFonts w:ascii="Arial" w:hAnsi="Arial" w:cs="Arial"/>
          <w:sz w:val="20"/>
          <w:szCs w:val="20"/>
          <w:lang w:val="es-ES"/>
        </w:rPr>
        <w:t>Cámara Federal de Apelaciones de Mar del Plata</w:t>
      </w:r>
      <w:r w:rsidR="00711BB0" w:rsidRPr="00711BB0">
        <w:rPr>
          <w:rFonts w:ascii="Arial" w:hAnsi="Arial" w:cs="Arial"/>
          <w:sz w:val="20"/>
          <w:szCs w:val="20"/>
          <w:lang w:val="es-ES"/>
        </w:rPr>
        <w:t>, “Avalle, Dante Alejandro s/ averiguación de delito”, 7/08/2017, C.N. 19701/2016</w:t>
      </w:r>
      <w:r w:rsidR="00931054" w:rsidRPr="00491023">
        <w:rPr>
          <w:rFonts w:ascii="Arial" w:hAnsi="Arial" w:cs="Arial"/>
          <w:sz w:val="20"/>
          <w:szCs w:val="20"/>
          <w:lang w:val="es-ES"/>
        </w:rPr>
        <w:t>.</w:t>
      </w:r>
    </w:p>
    <w:p w14:paraId="247EC184" w14:textId="4A983700" w:rsidR="00931054" w:rsidRPr="00491023" w:rsidRDefault="00AF2300" w:rsidP="001C04DA">
      <w:pPr>
        <w:spacing w:line="360" w:lineRule="auto"/>
        <w:ind w:left="1066" w:hanging="709"/>
        <w:jc w:val="both"/>
        <w:rPr>
          <w:rFonts w:ascii="Arial" w:hAnsi="Arial" w:cs="Arial"/>
          <w:sz w:val="20"/>
          <w:szCs w:val="20"/>
          <w:lang w:val="es-ES"/>
        </w:rPr>
      </w:pPr>
      <w:r>
        <w:rPr>
          <w:rFonts w:ascii="Arial" w:hAnsi="Arial" w:cs="Arial"/>
          <w:sz w:val="20"/>
          <w:szCs w:val="20"/>
          <w:lang w:val="es-ES"/>
        </w:rPr>
        <w:t>CFCP</w:t>
      </w:r>
      <w:r w:rsidR="00931054">
        <w:rPr>
          <w:rFonts w:ascii="Arial" w:hAnsi="Arial" w:cs="Arial"/>
          <w:sz w:val="20"/>
          <w:szCs w:val="20"/>
          <w:lang w:val="es-ES"/>
        </w:rPr>
        <w:t xml:space="preserve">, </w:t>
      </w:r>
      <w:r w:rsidR="00931054" w:rsidRPr="00491023">
        <w:rPr>
          <w:rFonts w:ascii="Arial" w:hAnsi="Arial" w:cs="Arial"/>
          <w:sz w:val="20"/>
          <w:szCs w:val="20"/>
          <w:lang w:val="es-ES"/>
        </w:rPr>
        <w:t>Sala III</w:t>
      </w:r>
      <w:r w:rsidR="006433C8">
        <w:rPr>
          <w:rFonts w:ascii="Arial" w:hAnsi="Arial" w:cs="Arial"/>
          <w:sz w:val="20"/>
          <w:szCs w:val="20"/>
          <w:lang w:val="es-ES"/>
        </w:rPr>
        <w:t>,</w:t>
      </w:r>
      <w:r w:rsidR="00931054" w:rsidRPr="00491023">
        <w:rPr>
          <w:rFonts w:ascii="Arial" w:hAnsi="Arial" w:cs="Arial"/>
          <w:sz w:val="20"/>
          <w:szCs w:val="20"/>
          <w:lang w:val="es-ES"/>
        </w:rPr>
        <w:t xml:space="preserve"> “</w:t>
      </w:r>
      <w:proofErr w:type="spellStart"/>
      <w:r w:rsidR="00931054" w:rsidRPr="00491023">
        <w:rPr>
          <w:rFonts w:ascii="Arial" w:hAnsi="Arial" w:cs="Arial"/>
          <w:sz w:val="20"/>
          <w:szCs w:val="20"/>
          <w:lang w:val="es-ES"/>
        </w:rPr>
        <w:t>Gallardo</w:t>
      </w:r>
      <w:proofErr w:type="spellEnd"/>
      <w:r w:rsidR="00931054" w:rsidRPr="00491023">
        <w:rPr>
          <w:rFonts w:ascii="Arial" w:hAnsi="Arial" w:cs="Arial"/>
          <w:sz w:val="20"/>
          <w:szCs w:val="20"/>
          <w:lang w:val="es-ES"/>
        </w:rPr>
        <w:t>, Walter Horacio y otros s/ recurso de casación”. C.N. 4636.</w:t>
      </w:r>
    </w:p>
    <w:p w14:paraId="081C6CDD" w14:textId="77777777" w:rsidR="00931054" w:rsidRPr="00931054" w:rsidRDefault="00931054" w:rsidP="001C04DA">
      <w:pPr>
        <w:spacing w:line="360" w:lineRule="auto"/>
        <w:ind w:left="1066" w:hanging="709"/>
        <w:jc w:val="both"/>
        <w:rPr>
          <w:rFonts w:ascii="Arial" w:hAnsi="Arial" w:cs="Arial"/>
          <w:sz w:val="20"/>
          <w:szCs w:val="20"/>
          <w:lang w:val="es-ES"/>
        </w:rPr>
      </w:pPr>
      <w:r w:rsidRPr="00931054">
        <w:rPr>
          <w:rFonts w:ascii="Arial" w:hAnsi="Arial" w:cs="Arial"/>
          <w:sz w:val="20"/>
          <w:szCs w:val="20"/>
          <w:lang w:val="es-ES"/>
        </w:rPr>
        <w:t>Zamora, F. M. (1973). Código Aeronáutico. Buenos Aires: Zavalía.</w:t>
      </w:r>
    </w:p>
    <w:p w14:paraId="3B738932" w14:textId="5A630B78" w:rsidR="0085360C" w:rsidRDefault="0085360C" w:rsidP="00C77333">
      <w:pPr>
        <w:spacing w:line="360" w:lineRule="auto"/>
        <w:ind w:left="1065"/>
        <w:jc w:val="both"/>
        <w:rPr>
          <w:rFonts w:ascii="Arial" w:hAnsi="Arial" w:cs="Arial"/>
          <w:sz w:val="20"/>
          <w:szCs w:val="20"/>
          <w:lang w:val="es-ES"/>
        </w:rPr>
      </w:pPr>
    </w:p>
    <w:p w14:paraId="74F7B702" w14:textId="77777777" w:rsidR="005577D4" w:rsidRPr="006F7992" w:rsidRDefault="005577D4" w:rsidP="006F7992">
      <w:pPr>
        <w:spacing w:line="360" w:lineRule="auto"/>
        <w:jc w:val="both"/>
        <w:rPr>
          <w:rFonts w:ascii="Arial" w:hAnsi="Arial" w:cs="Arial"/>
          <w:b/>
          <w:sz w:val="20"/>
          <w:szCs w:val="20"/>
          <w:u w:val="single"/>
          <w:lang w:val="es-ES"/>
        </w:rPr>
      </w:pPr>
    </w:p>
    <w:sectPr w:rsidR="005577D4" w:rsidRPr="006F7992" w:rsidSect="00491023">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25BA" w14:textId="77777777" w:rsidR="00147B65" w:rsidRDefault="00147B65" w:rsidP="00D67844">
      <w:pPr>
        <w:spacing w:after="0" w:line="240" w:lineRule="auto"/>
      </w:pPr>
      <w:r>
        <w:separator/>
      </w:r>
    </w:p>
  </w:endnote>
  <w:endnote w:type="continuationSeparator" w:id="0">
    <w:p w14:paraId="0A8222C9" w14:textId="77777777" w:rsidR="00147B65" w:rsidRDefault="00147B65" w:rsidP="00D6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2BD8" w14:textId="16CAE3DA" w:rsidR="00491023" w:rsidRPr="00491023" w:rsidRDefault="00491023" w:rsidP="00491023">
    <w:pPr>
      <w:rPr>
        <w:rFonts w:ascii="Cambria" w:eastAsia="Cambria" w:hAnsi="Cambria" w:cs="Cambria"/>
      </w:rPr>
    </w:pPr>
    <w:r>
      <w:rPr>
        <w:rFonts w:ascii="Cambria" w:eastAsia="Cambria" w:hAnsi="Cambria" w:cs="Cambria"/>
        <w:sz w:val="20"/>
        <w:szCs w:val="20"/>
      </w:rPr>
      <w:t xml:space="preserve">                                                                         </w:t>
    </w:r>
    <w:r w:rsidRPr="00491023">
      <w:rPr>
        <w:rFonts w:ascii="Cambria" w:eastAsia="Cambria" w:hAnsi="Cambria" w:cs="Cambria"/>
      </w:rPr>
      <w:t>Año 7 – Número 13 – enero-junio 2025. ISSN: 2525-0620</w:t>
    </w:r>
    <w:r>
      <w:rPr>
        <w:rFonts w:ascii="Cambria" w:eastAsia="Cambria" w:hAnsi="Cambria" w:cs="Cambria"/>
      </w:rPr>
      <w:t xml:space="preserve"> </w:t>
    </w:r>
  </w:p>
  <w:p w14:paraId="655D0F99" w14:textId="77777777" w:rsidR="00491023" w:rsidRDefault="004910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816" w14:textId="2133D14F" w:rsidR="00491023" w:rsidRPr="00491023" w:rsidRDefault="00491023" w:rsidP="00491023">
    <w:pPr>
      <w:pStyle w:val="Piedepgina"/>
      <w:rPr>
        <w:rFonts w:ascii="Cambria" w:hAnsi="Cambria"/>
      </w:rPr>
    </w:pPr>
    <w:r w:rsidRPr="00491023">
      <w:rPr>
        <w:rFonts w:ascii="Cambria" w:hAnsi="Cambria"/>
      </w:rPr>
      <w:t xml:space="preserve">                                                    </w:t>
    </w:r>
    <w:r>
      <w:rPr>
        <w:rFonts w:ascii="Cambria" w:hAnsi="Cambria"/>
      </w:rPr>
      <w:t xml:space="preserve">                   </w:t>
    </w:r>
    <w:r w:rsidRPr="00491023">
      <w:rPr>
        <w:rFonts w:ascii="Cambria" w:hAnsi="Cambria"/>
      </w:rPr>
      <w:t xml:space="preserve">Año 7 – Número 13 – enero-junio 2025. ISSN: 2525-0620 </w:t>
    </w:r>
  </w:p>
  <w:p w14:paraId="06B874CD" w14:textId="0B137FAD" w:rsidR="00491023" w:rsidRDefault="00491023">
    <w:pPr>
      <w:pStyle w:val="Piedepgina"/>
    </w:pPr>
    <w:r>
      <w:t xml:space="preserve">                                                                                                                                                        </w:t>
    </w:r>
    <w:r>
      <w:rPr>
        <w:noProof/>
        <w:lang w:val="es-ES" w:eastAsia="es-ES"/>
      </w:rPr>
      <w:drawing>
        <wp:inline distT="0" distB="0" distL="0" distR="0" wp14:anchorId="13C32F68" wp14:editId="644879D8">
          <wp:extent cx="774065" cy="28638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863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970F" w14:textId="77777777" w:rsidR="00147B65" w:rsidRDefault="00147B65" w:rsidP="00D67844">
      <w:pPr>
        <w:spacing w:after="0" w:line="240" w:lineRule="auto"/>
      </w:pPr>
      <w:r>
        <w:separator/>
      </w:r>
    </w:p>
  </w:footnote>
  <w:footnote w:type="continuationSeparator" w:id="0">
    <w:p w14:paraId="282DD0D7" w14:textId="77777777" w:rsidR="00147B65" w:rsidRDefault="00147B65" w:rsidP="00D67844">
      <w:pPr>
        <w:spacing w:after="0" w:line="240" w:lineRule="auto"/>
      </w:pPr>
      <w:r>
        <w:continuationSeparator/>
      </w:r>
    </w:p>
  </w:footnote>
  <w:footnote w:id="1">
    <w:p w14:paraId="1BBC6244" w14:textId="32A9C8CF" w:rsidR="007F7C7B" w:rsidRPr="00155A19" w:rsidRDefault="007F7C7B" w:rsidP="00155A19">
      <w:pPr>
        <w:pStyle w:val="Textonotapie"/>
        <w:jc w:val="both"/>
        <w:rPr>
          <w:rFonts w:ascii="Arial" w:hAnsi="Arial" w:cs="Arial"/>
          <w:lang w:val="es-ES"/>
        </w:rPr>
      </w:pPr>
      <w:r w:rsidRPr="00155A19">
        <w:rPr>
          <w:rStyle w:val="Refdenotaalpie"/>
          <w:rFonts w:ascii="Arial" w:hAnsi="Arial" w:cs="Arial"/>
        </w:rPr>
        <w:footnoteRef/>
      </w:r>
      <w:r w:rsidRPr="00155A19">
        <w:rPr>
          <w:rFonts w:ascii="Arial" w:hAnsi="Arial" w:cs="Arial"/>
        </w:rPr>
        <w:t xml:space="preserve"> </w:t>
      </w:r>
      <w:proofErr w:type="spellStart"/>
      <w:r w:rsidRPr="00155A19">
        <w:rPr>
          <w:rFonts w:ascii="Arial" w:hAnsi="Arial" w:cs="Arial"/>
        </w:rPr>
        <w:t>Arrola</w:t>
      </w:r>
      <w:proofErr w:type="spellEnd"/>
      <w:r w:rsidRPr="00155A19">
        <w:rPr>
          <w:rFonts w:ascii="Arial" w:hAnsi="Arial" w:cs="Arial"/>
        </w:rPr>
        <w:t xml:space="preserve"> de </w:t>
      </w:r>
      <w:proofErr w:type="spellStart"/>
      <w:r w:rsidRPr="00155A19">
        <w:rPr>
          <w:rFonts w:ascii="Arial" w:hAnsi="Arial" w:cs="Arial"/>
        </w:rPr>
        <w:t>Galandrini</w:t>
      </w:r>
      <w:proofErr w:type="spellEnd"/>
      <w:r w:rsidRPr="00155A19">
        <w:rPr>
          <w:rFonts w:ascii="Arial" w:hAnsi="Arial" w:cs="Arial"/>
        </w:rPr>
        <w:t xml:space="preserve">, Graciela, 1997, </w:t>
      </w:r>
      <w:r w:rsidR="00C433D9" w:rsidRPr="00155A19">
        <w:rPr>
          <w:rFonts w:ascii="Arial" w:hAnsi="Arial" w:cs="Arial"/>
          <w:lang w:val="es-ES"/>
        </w:rPr>
        <w:t>pp.</w:t>
      </w:r>
      <w:r w:rsidRPr="00155A19">
        <w:rPr>
          <w:rFonts w:ascii="Arial" w:hAnsi="Arial" w:cs="Arial"/>
          <w:lang w:val="es-ES"/>
        </w:rPr>
        <w:t xml:space="preserve"> 25</w:t>
      </w:r>
      <w:r w:rsidR="0028635A" w:rsidRPr="00155A19">
        <w:rPr>
          <w:rFonts w:ascii="Arial" w:hAnsi="Arial" w:cs="Arial"/>
          <w:lang w:val="es-ES"/>
        </w:rPr>
        <w:t>.</w:t>
      </w:r>
    </w:p>
  </w:footnote>
  <w:footnote w:id="2">
    <w:p w14:paraId="04455380" w14:textId="6DBF5852" w:rsidR="009837C1" w:rsidRPr="00155A19" w:rsidRDefault="009837C1" w:rsidP="00155A19">
      <w:pPr>
        <w:pStyle w:val="Textonotapie"/>
        <w:jc w:val="both"/>
        <w:rPr>
          <w:rFonts w:ascii="Arial" w:hAnsi="Arial" w:cs="Arial"/>
        </w:rPr>
      </w:pPr>
      <w:r w:rsidRPr="00155A19">
        <w:rPr>
          <w:rStyle w:val="Refdenotaalpie"/>
          <w:rFonts w:ascii="Arial" w:hAnsi="Arial" w:cs="Arial"/>
        </w:rPr>
        <w:footnoteRef/>
      </w:r>
      <w:r w:rsidRPr="00155A19">
        <w:rPr>
          <w:rFonts w:ascii="Arial" w:hAnsi="Arial" w:cs="Arial"/>
          <w:lang w:val="es-AR"/>
        </w:rPr>
        <w:t xml:space="preserve"> </w:t>
      </w:r>
      <w:proofErr w:type="spellStart"/>
      <w:r w:rsidR="00711BB0">
        <w:rPr>
          <w:rFonts w:ascii="Arial" w:hAnsi="Arial" w:cs="Arial"/>
          <w:lang w:val="es-AR"/>
        </w:rPr>
        <w:t>CFMdP</w:t>
      </w:r>
      <w:proofErr w:type="spellEnd"/>
      <w:r w:rsidR="00711BB0">
        <w:rPr>
          <w:rFonts w:ascii="Arial" w:hAnsi="Arial" w:cs="Arial"/>
          <w:lang w:val="es-AR"/>
        </w:rPr>
        <w:t xml:space="preserve">, </w:t>
      </w:r>
      <w:r w:rsidRPr="00155A19">
        <w:rPr>
          <w:rFonts w:ascii="Arial" w:hAnsi="Arial" w:cs="Arial"/>
          <w:lang w:val="es-AR"/>
        </w:rPr>
        <w:t>“</w:t>
      </w:r>
      <w:bookmarkStart w:id="0" w:name="_Hlk198884573"/>
      <w:r w:rsidRPr="00155A19">
        <w:rPr>
          <w:rFonts w:ascii="Arial" w:hAnsi="Arial" w:cs="Arial"/>
          <w:lang w:val="es-AR"/>
        </w:rPr>
        <w:t>Avalle, Dante Alejandro s/ averiguación de delito”, 7/08/2017, C.N. 19701/2016</w:t>
      </w:r>
      <w:bookmarkEnd w:id="0"/>
      <w:r w:rsidRPr="00155A19">
        <w:rPr>
          <w:rFonts w:ascii="Arial" w:hAnsi="Arial" w:cs="Arial"/>
          <w:lang w:val="es-AR"/>
        </w:rPr>
        <w:t>.</w:t>
      </w:r>
    </w:p>
  </w:footnote>
  <w:footnote w:id="3">
    <w:p w14:paraId="65C55149" w14:textId="7E91EE19" w:rsidR="00D52C41" w:rsidRPr="00155A19" w:rsidRDefault="00D52C41" w:rsidP="00155A19">
      <w:pPr>
        <w:pStyle w:val="Textonotapie"/>
        <w:jc w:val="both"/>
        <w:rPr>
          <w:rFonts w:ascii="Arial" w:hAnsi="Arial" w:cs="Arial"/>
        </w:rPr>
      </w:pPr>
      <w:r w:rsidRPr="00155A19">
        <w:rPr>
          <w:rStyle w:val="Refdenotaalpie"/>
          <w:rFonts w:ascii="Arial" w:hAnsi="Arial" w:cs="Arial"/>
        </w:rPr>
        <w:footnoteRef/>
      </w:r>
      <w:r w:rsidRPr="00155A19">
        <w:rPr>
          <w:rFonts w:ascii="Arial" w:hAnsi="Arial" w:cs="Arial"/>
        </w:rPr>
        <w:t xml:space="preserve"> </w:t>
      </w:r>
      <w:bookmarkStart w:id="1" w:name="_Hlk198885221"/>
      <w:r w:rsidRPr="00155A19">
        <w:rPr>
          <w:rFonts w:ascii="Arial" w:hAnsi="Arial" w:cs="Arial"/>
          <w:bCs/>
          <w:lang w:val="es-AR"/>
        </w:rPr>
        <w:t>“Legajo de actuaciones complementarias de Saramaga, Daniel Jorge…”</w:t>
      </w:r>
      <w:r w:rsidRPr="00155A19">
        <w:rPr>
          <w:rFonts w:ascii="Arial" w:hAnsi="Arial" w:cs="Arial"/>
          <w:lang w:val="es-AR"/>
        </w:rPr>
        <w:t xml:space="preserve">, </w:t>
      </w:r>
      <w:r w:rsidRPr="00155A19">
        <w:rPr>
          <w:rFonts w:ascii="Arial" w:hAnsi="Arial" w:cs="Arial"/>
          <w:szCs w:val="18"/>
          <w:lang w:val="es-AR"/>
        </w:rPr>
        <w:t>30/11/2023, C.N.</w:t>
      </w:r>
      <w:r w:rsidRPr="00155A19">
        <w:rPr>
          <w:rFonts w:ascii="Arial" w:hAnsi="Arial" w:cs="Arial"/>
          <w:sz w:val="20"/>
          <w:szCs w:val="20"/>
          <w:lang w:val="es-AR"/>
        </w:rPr>
        <w:t xml:space="preserve"> </w:t>
      </w:r>
      <w:r w:rsidRPr="00155A19">
        <w:rPr>
          <w:rFonts w:ascii="Arial" w:hAnsi="Arial" w:cs="Arial"/>
          <w:lang w:val="es-AR"/>
        </w:rPr>
        <w:t>108/2019/4/CA2.</w:t>
      </w:r>
      <w:bookmarkEnd w:id="1"/>
    </w:p>
  </w:footnote>
  <w:footnote w:id="4">
    <w:p w14:paraId="65B53BAC" w14:textId="3FB7FF18" w:rsidR="00D52C41" w:rsidRPr="00155A19" w:rsidRDefault="00D52C41" w:rsidP="00155A19">
      <w:pPr>
        <w:pStyle w:val="Textonotapie"/>
        <w:jc w:val="both"/>
        <w:rPr>
          <w:rFonts w:ascii="Arial" w:hAnsi="Arial" w:cs="Arial"/>
          <w:b/>
          <w:lang w:val="es-AR"/>
        </w:rPr>
      </w:pPr>
      <w:r w:rsidRPr="00155A19">
        <w:rPr>
          <w:rStyle w:val="Refdenotaalpie"/>
          <w:rFonts w:ascii="Arial" w:hAnsi="Arial" w:cs="Arial"/>
        </w:rPr>
        <w:footnoteRef/>
      </w:r>
      <w:r w:rsidRPr="00155A19">
        <w:rPr>
          <w:rFonts w:ascii="Arial" w:hAnsi="Arial" w:cs="Arial"/>
        </w:rPr>
        <w:t xml:space="preserve"> </w:t>
      </w:r>
      <w:r w:rsidR="00DB63E4" w:rsidRPr="00155A19">
        <w:rPr>
          <w:rFonts w:ascii="Arial" w:hAnsi="Arial" w:cs="Arial"/>
          <w:bCs/>
          <w:lang w:val="es-AR"/>
        </w:rPr>
        <w:t xml:space="preserve">“Fernández, Santiago s/suspensión de proceso a prueba”, C.N. </w:t>
      </w:r>
      <w:r w:rsidRPr="00155A19">
        <w:rPr>
          <w:rFonts w:ascii="Arial" w:hAnsi="Arial" w:cs="Arial"/>
          <w:bCs/>
          <w:lang w:val="es-AR"/>
        </w:rPr>
        <w:t>4666/2018</w:t>
      </w:r>
      <w:r w:rsidRPr="00155A19">
        <w:rPr>
          <w:rFonts w:ascii="Arial" w:hAnsi="Arial" w:cs="Arial"/>
          <w:lang w:val="es-AR"/>
        </w:rPr>
        <w:t>.</w:t>
      </w:r>
    </w:p>
    <w:p w14:paraId="5D6D7A7D" w14:textId="5E18415B" w:rsidR="00D52C41" w:rsidRPr="00155A19" w:rsidRDefault="00D52C41" w:rsidP="00155A19">
      <w:pPr>
        <w:pStyle w:val="Textonotapie"/>
        <w:jc w:val="both"/>
        <w:rPr>
          <w:rFonts w:ascii="Arial" w:hAnsi="Arial" w:cs="Arial"/>
          <w:lang w:val="es-AR"/>
        </w:rPr>
      </w:pPr>
    </w:p>
  </w:footnote>
  <w:footnote w:id="5">
    <w:p w14:paraId="060E8E75" w14:textId="3F436D20" w:rsidR="00DB63E4" w:rsidRPr="00155A19" w:rsidRDefault="00DB63E4" w:rsidP="00155A19">
      <w:pPr>
        <w:pStyle w:val="Textonotapie"/>
        <w:jc w:val="both"/>
        <w:rPr>
          <w:rFonts w:ascii="Arial" w:hAnsi="Arial" w:cs="Arial"/>
        </w:rPr>
      </w:pPr>
      <w:r w:rsidRPr="00155A19">
        <w:rPr>
          <w:rStyle w:val="Refdenotaalpie"/>
          <w:rFonts w:ascii="Arial" w:hAnsi="Arial" w:cs="Arial"/>
        </w:rPr>
        <w:footnoteRef/>
      </w:r>
      <w:r w:rsidRPr="00155A19">
        <w:rPr>
          <w:rFonts w:ascii="Arial" w:hAnsi="Arial" w:cs="Arial"/>
        </w:rPr>
        <w:t xml:space="preserve"> </w:t>
      </w:r>
      <w:bookmarkStart w:id="3" w:name="_Hlk198885484"/>
      <w:r w:rsidRPr="00155A19">
        <w:rPr>
          <w:rFonts w:ascii="Arial" w:hAnsi="Arial" w:cs="Arial"/>
          <w:lang w:val="es-ES"/>
        </w:rPr>
        <w:t>“Gallardo, Walter Horacio y otros s/ recurso de casación”, C.N. 4636.</w:t>
      </w:r>
    </w:p>
    <w:bookmarkEnd w:id="3"/>
  </w:footnote>
  <w:footnote w:id="6">
    <w:p w14:paraId="200A3F92" w14:textId="7240D6AC" w:rsidR="00DB63E4" w:rsidRPr="00155A19" w:rsidRDefault="00DB63E4" w:rsidP="00155A19">
      <w:pPr>
        <w:pStyle w:val="Textonotapie"/>
        <w:jc w:val="both"/>
        <w:rPr>
          <w:rFonts w:ascii="Arial" w:hAnsi="Arial" w:cs="Arial"/>
        </w:rPr>
      </w:pPr>
      <w:r w:rsidRPr="00155A19">
        <w:rPr>
          <w:rStyle w:val="Refdenotaalpie"/>
          <w:rFonts w:ascii="Arial" w:hAnsi="Arial" w:cs="Arial"/>
        </w:rPr>
        <w:footnoteRef/>
      </w:r>
      <w:r w:rsidRPr="00155A19">
        <w:rPr>
          <w:rFonts w:ascii="Arial" w:hAnsi="Arial" w:cs="Arial"/>
        </w:rPr>
        <w:t xml:space="preserve"> </w:t>
      </w:r>
      <w:r w:rsidR="00D855EC" w:rsidRPr="00155A19">
        <w:rPr>
          <w:rFonts w:ascii="Arial" w:hAnsi="Arial" w:cs="Arial"/>
        </w:rPr>
        <w:t xml:space="preserve">CSJN, </w:t>
      </w:r>
      <w:r w:rsidR="00D855EC" w:rsidRPr="00155A19">
        <w:rPr>
          <w:rFonts w:ascii="Arial" w:hAnsi="Arial" w:cs="Arial"/>
          <w:lang w:val="es-AR"/>
        </w:rPr>
        <w:t>C. 0924</w:t>
      </w:r>
      <w:r w:rsidR="00D855EC" w:rsidRPr="00155A19">
        <w:rPr>
          <w:rFonts w:ascii="Arial" w:hAnsi="Arial" w:cs="Arial"/>
        </w:rPr>
        <w:t xml:space="preserve"> </w:t>
      </w:r>
      <w:r w:rsidRPr="00155A19">
        <w:rPr>
          <w:rFonts w:ascii="Arial" w:hAnsi="Arial" w:cs="Arial"/>
          <w:lang w:val="es-AR"/>
        </w:rPr>
        <w:t>27/10/1988.</w:t>
      </w:r>
    </w:p>
  </w:footnote>
  <w:footnote w:id="7">
    <w:p w14:paraId="56FCA79A" w14:textId="7E6EB58B" w:rsidR="008444B0" w:rsidRPr="00155A19" w:rsidRDefault="008444B0" w:rsidP="00155A19">
      <w:pPr>
        <w:pStyle w:val="Textonotapie"/>
        <w:jc w:val="both"/>
        <w:rPr>
          <w:rFonts w:ascii="Arial" w:hAnsi="Arial" w:cs="Arial"/>
          <w:lang w:val="es-AR"/>
        </w:rPr>
      </w:pPr>
      <w:r w:rsidRPr="00155A19">
        <w:rPr>
          <w:rStyle w:val="Refdenotaalpie"/>
          <w:rFonts w:ascii="Arial" w:hAnsi="Arial" w:cs="Arial"/>
        </w:rPr>
        <w:footnoteRef/>
      </w:r>
      <w:r w:rsidRPr="00155A19">
        <w:rPr>
          <w:rFonts w:ascii="Arial" w:hAnsi="Arial" w:cs="Arial"/>
        </w:rPr>
        <w:t xml:space="preserve"> </w:t>
      </w:r>
      <w:r w:rsidRPr="00155A19">
        <w:rPr>
          <w:rFonts w:ascii="Arial" w:hAnsi="Arial" w:cs="Arial"/>
          <w:lang w:val="es-AR"/>
        </w:rPr>
        <w:t xml:space="preserve">Balian, Eduardo Néstor, “Código aeronáutico”, ed. Astrea, Buenos Aires – </w:t>
      </w:r>
      <w:r w:rsidR="00C77333" w:rsidRPr="00155A19">
        <w:rPr>
          <w:rFonts w:ascii="Arial" w:hAnsi="Arial" w:cs="Arial"/>
          <w:lang w:val="es-AR"/>
        </w:rPr>
        <w:t>Bogotá</w:t>
      </w:r>
      <w:r w:rsidRPr="00155A19">
        <w:rPr>
          <w:rFonts w:ascii="Arial" w:hAnsi="Arial" w:cs="Arial"/>
          <w:lang w:val="es-AR"/>
        </w:rPr>
        <w:t>, 2013, prólogo de Donato Angela Marina.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C963" w14:textId="4FC10C7C" w:rsidR="006C607F" w:rsidRDefault="006C607F">
    <w:pPr>
      <w:pStyle w:val="Encabezado"/>
    </w:pPr>
  </w:p>
  <w:p w14:paraId="6992CD55" w14:textId="78C2418D" w:rsidR="006C607F" w:rsidRPr="00AB2174" w:rsidRDefault="006C607F">
    <w:pPr>
      <w:pStyle w:val="Encabezado"/>
      <w:pBdr>
        <w:bottom w:val="single" w:sz="6" w:space="1" w:color="auto"/>
      </w:pBdr>
      <w:rPr>
        <w:rFonts w:ascii="Cambria" w:hAnsi="Cambria"/>
        <w:sz w:val="20"/>
        <w:szCs w:val="20"/>
      </w:rPr>
    </w:pPr>
    <w:r w:rsidRPr="00AB2174">
      <w:rPr>
        <w:rFonts w:ascii="Cambria" w:hAnsi="Cambria"/>
        <w:sz w:val="20"/>
        <w:szCs w:val="20"/>
      </w:rPr>
      <w:t xml:space="preserve">                                                                                                                            </w:t>
    </w:r>
    <w:r w:rsidR="00AB2174">
      <w:rPr>
        <w:rFonts w:ascii="Cambria" w:hAnsi="Cambria"/>
        <w:sz w:val="20"/>
        <w:szCs w:val="20"/>
      </w:rPr>
      <w:t xml:space="preserve">                    </w:t>
    </w:r>
    <w:r w:rsidRPr="00AB2174">
      <w:rPr>
        <w:rFonts w:ascii="Cambria" w:hAnsi="Cambria"/>
        <w:sz w:val="20"/>
        <w:szCs w:val="20"/>
      </w:rPr>
      <w:t xml:space="preserve"> Revista Nueva Crítica Penal</w:t>
    </w:r>
  </w:p>
  <w:p w14:paraId="057A5D9B" w14:textId="77777777" w:rsidR="006C607F" w:rsidRPr="006C607F" w:rsidRDefault="006C607F">
    <w:pPr>
      <w:pStyle w:val="Encabezado"/>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8B66" w14:textId="25BC6D76" w:rsidR="00491023" w:rsidRDefault="00491023">
    <w:pPr>
      <w:pStyle w:val="Encabezado"/>
    </w:pPr>
  </w:p>
  <w:p w14:paraId="35BBA674" w14:textId="2F8C2F9C" w:rsidR="00491023" w:rsidRDefault="00491023">
    <w:pPr>
      <w:pStyle w:val="Encabezado"/>
      <w:pBdr>
        <w:bottom w:val="single" w:sz="6" w:space="1" w:color="auto"/>
      </w:pBdr>
      <w:rPr>
        <w:rFonts w:ascii="Cambria" w:hAnsi="Cambria"/>
        <w:sz w:val="20"/>
        <w:szCs w:val="20"/>
      </w:rPr>
    </w:pPr>
    <w:r>
      <w:rPr>
        <w:rFonts w:ascii="Cambria" w:hAnsi="Cambria"/>
        <w:sz w:val="20"/>
        <w:szCs w:val="20"/>
      </w:rPr>
      <w:t xml:space="preserve">                                                                                                                                                  </w:t>
    </w:r>
    <w:r w:rsidRPr="00491023">
      <w:rPr>
        <w:rFonts w:ascii="Cambria" w:hAnsi="Cambria"/>
        <w:sz w:val="20"/>
        <w:szCs w:val="20"/>
      </w:rPr>
      <w:t>Revista Nueva Crítica Penal</w:t>
    </w:r>
  </w:p>
  <w:p w14:paraId="33E336C2" w14:textId="77777777" w:rsidR="00491023" w:rsidRPr="00491023" w:rsidRDefault="00491023">
    <w:pPr>
      <w:pStyle w:val="Encabezado"/>
      <w:rPr>
        <w:rFonts w:ascii="Cambria" w:hAnsi="Cambria"/>
        <w:sz w:val="20"/>
        <w:szCs w:val="20"/>
      </w:rPr>
    </w:pPr>
  </w:p>
  <w:p w14:paraId="571FD759" w14:textId="77777777" w:rsidR="00491023" w:rsidRDefault="00491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CF7"/>
    <w:multiLevelType w:val="multilevel"/>
    <w:tmpl w:val="03C4F45E"/>
    <w:lvl w:ilvl="0">
      <w:start w:val="1"/>
      <w:numFmt w:val="decimal"/>
      <w:lvlText w:val="%1."/>
      <w:lvlJc w:val="left"/>
      <w:pPr>
        <w:ind w:left="360" w:hanging="360"/>
      </w:pPr>
      <w:rPr>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64490"/>
    <w:multiLevelType w:val="hybridMultilevel"/>
    <w:tmpl w:val="002602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0AB2BEE"/>
    <w:multiLevelType w:val="hybridMultilevel"/>
    <w:tmpl w:val="1660D8E6"/>
    <w:lvl w:ilvl="0" w:tplc="69FC61F2">
      <w:start w:val="1"/>
      <w:numFmt w:val="decimal"/>
      <w:lvlText w:val="%1."/>
      <w:lvlJc w:val="left"/>
      <w:pPr>
        <w:ind w:left="1065" w:hanging="360"/>
      </w:pPr>
      <w:rPr>
        <w:rFonts w:hint="default"/>
        <w:b/>
        <w:i w:val="0"/>
        <w:u w:val="none"/>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3" w15:restartNumberingAfterBreak="0">
    <w:nsid w:val="113E2EA2"/>
    <w:multiLevelType w:val="hybridMultilevel"/>
    <w:tmpl w:val="963604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1762039"/>
    <w:multiLevelType w:val="hybridMultilevel"/>
    <w:tmpl w:val="0FD6FCA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2B26496"/>
    <w:multiLevelType w:val="hybridMultilevel"/>
    <w:tmpl w:val="68CCEE56"/>
    <w:lvl w:ilvl="0" w:tplc="0B8A249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18CF694C"/>
    <w:multiLevelType w:val="hybridMultilevel"/>
    <w:tmpl w:val="D2685846"/>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7" w15:restartNumberingAfterBreak="0">
    <w:nsid w:val="21FB6320"/>
    <w:multiLevelType w:val="hybridMultilevel"/>
    <w:tmpl w:val="078499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24A3983"/>
    <w:multiLevelType w:val="hybridMultilevel"/>
    <w:tmpl w:val="2E3C0468"/>
    <w:lvl w:ilvl="0" w:tplc="710EC676">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9" w15:restartNumberingAfterBreak="0">
    <w:nsid w:val="227D5869"/>
    <w:multiLevelType w:val="hybridMultilevel"/>
    <w:tmpl w:val="2DE634BA"/>
    <w:lvl w:ilvl="0" w:tplc="70C0CE84">
      <w:start w:val="1"/>
      <w:numFmt w:val="decimal"/>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0" w15:restartNumberingAfterBreak="0">
    <w:nsid w:val="23971A01"/>
    <w:multiLevelType w:val="hybridMultilevel"/>
    <w:tmpl w:val="1660D8E6"/>
    <w:lvl w:ilvl="0" w:tplc="69FC61F2">
      <w:start w:val="1"/>
      <w:numFmt w:val="decimal"/>
      <w:lvlText w:val="%1."/>
      <w:lvlJc w:val="left"/>
      <w:pPr>
        <w:ind w:left="1065" w:hanging="360"/>
      </w:pPr>
      <w:rPr>
        <w:rFonts w:hint="default"/>
        <w:b/>
        <w:i w:val="0"/>
        <w:u w:val="none"/>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1" w15:restartNumberingAfterBreak="0">
    <w:nsid w:val="25236938"/>
    <w:multiLevelType w:val="hybridMultilevel"/>
    <w:tmpl w:val="88B4D60E"/>
    <w:lvl w:ilvl="0" w:tplc="DBD2C476">
      <w:start w:val="1"/>
      <w:numFmt w:val="lowerRoman"/>
      <w:lvlText w:val="%1."/>
      <w:lvlJc w:val="righ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B7452"/>
    <w:multiLevelType w:val="hybridMultilevel"/>
    <w:tmpl w:val="B764EFFA"/>
    <w:lvl w:ilvl="0" w:tplc="2C0A0011">
      <w:start w:val="4"/>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032795D"/>
    <w:multiLevelType w:val="hybridMultilevel"/>
    <w:tmpl w:val="83C0EEEC"/>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4" w15:restartNumberingAfterBreak="0">
    <w:nsid w:val="5E787843"/>
    <w:multiLevelType w:val="hybridMultilevel"/>
    <w:tmpl w:val="5440A152"/>
    <w:lvl w:ilvl="0" w:tplc="95989400">
      <w:start w:val="1"/>
      <w:numFmt w:val="lowerLetter"/>
      <w:lvlText w:val="%1)"/>
      <w:lvlJc w:val="left"/>
      <w:pPr>
        <w:ind w:left="927" w:hanging="360"/>
      </w:pPr>
      <w:rPr>
        <w:rFonts w:asciiTheme="minorHAnsi" w:hAnsiTheme="minorHAnsi" w:cstheme="minorBidi"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5" w15:restartNumberingAfterBreak="0">
    <w:nsid w:val="6F2E00C2"/>
    <w:multiLevelType w:val="multilevel"/>
    <w:tmpl w:val="7FF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013A8"/>
    <w:multiLevelType w:val="multilevel"/>
    <w:tmpl w:val="9A3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A7E98"/>
    <w:multiLevelType w:val="multilevel"/>
    <w:tmpl w:val="B458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D2E2F"/>
    <w:multiLevelType w:val="hybridMultilevel"/>
    <w:tmpl w:val="1B7499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4"/>
  </w:num>
  <w:num w:numId="5">
    <w:abstractNumId w:val="14"/>
  </w:num>
  <w:num w:numId="6">
    <w:abstractNumId w:val="8"/>
  </w:num>
  <w:num w:numId="7">
    <w:abstractNumId w:val="0"/>
  </w:num>
  <w:num w:numId="8">
    <w:abstractNumId w:val="12"/>
  </w:num>
  <w:num w:numId="9">
    <w:abstractNumId w:val="10"/>
  </w:num>
  <w:num w:numId="10">
    <w:abstractNumId w:val="2"/>
  </w:num>
  <w:num w:numId="11">
    <w:abstractNumId w:val="5"/>
  </w:num>
  <w:num w:numId="12">
    <w:abstractNumId w:val="6"/>
  </w:num>
  <w:num w:numId="13">
    <w:abstractNumId w:val="13"/>
  </w:num>
  <w:num w:numId="14">
    <w:abstractNumId w:val="3"/>
  </w:num>
  <w:num w:numId="15">
    <w:abstractNumId w:val="1"/>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EC"/>
    <w:rsid w:val="000512D2"/>
    <w:rsid w:val="00052C58"/>
    <w:rsid w:val="000554FC"/>
    <w:rsid w:val="000A1BDA"/>
    <w:rsid w:val="000A6829"/>
    <w:rsid w:val="000B673B"/>
    <w:rsid w:val="000F5FFD"/>
    <w:rsid w:val="00107549"/>
    <w:rsid w:val="00107E57"/>
    <w:rsid w:val="00113917"/>
    <w:rsid w:val="00143B72"/>
    <w:rsid w:val="00147B65"/>
    <w:rsid w:val="00155A19"/>
    <w:rsid w:val="0016120E"/>
    <w:rsid w:val="001A47F0"/>
    <w:rsid w:val="001B51C4"/>
    <w:rsid w:val="001C04DA"/>
    <w:rsid w:val="001C11CB"/>
    <w:rsid w:val="001C1B9B"/>
    <w:rsid w:val="001C2318"/>
    <w:rsid w:val="001D03DF"/>
    <w:rsid w:val="001D488A"/>
    <w:rsid w:val="001D7C21"/>
    <w:rsid w:val="00211574"/>
    <w:rsid w:val="00236228"/>
    <w:rsid w:val="00242FA2"/>
    <w:rsid w:val="00251025"/>
    <w:rsid w:val="00263FCD"/>
    <w:rsid w:val="00272D49"/>
    <w:rsid w:val="002754F9"/>
    <w:rsid w:val="0028635A"/>
    <w:rsid w:val="0029353C"/>
    <w:rsid w:val="002B3108"/>
    <w:rsid w:val="002D25B2"/>
    <w:rsid w:val="002D5231"/>
    <w:rsid w:val="002F02E0"/>
    <w:rsid w:val="00306323"/>
    <w:rsid w:val="00307816"/>
    <w:rsid w:val="00370001"/>
    <w:rsid w:val="003828F4"/>
    <w:rsid w:val="00387A22"/>
    <w:rsid w:val="00391405"/>
    <w:rsid w:val="003B0E6E"/>
    <w:rsid w:val="003E0821"/>
    <w:rsid w:val="003E32F9"/>
    <w:rsid w:val="003E75F3"/>
    <w:rsid w:val="004557C2"/>
    <w:rsid w:val="00491023"/>
    <w:rsid w:val="004B2597"/>
    <w:rsid w:val="004B5C06"/>
    <w:rsid w:val="004C26C6"/>
    <w:rsid w:val="004F35EC"/>
    <w:rsid w:val="004F5545"/>
    <w:rsid w:val="004F6870"/>
    <w:rsid w:val="004F7AD2"/>
    <w:rsid w:val="00521A93"/>
    <w:rsid w:val="00524B74"/>
    <w:rsid w:val="005577D4"/>
    <w:rsid w:val="00575EB7"/>
    <w:rsid w:val="00582D35"/>
    <w:rsid w:val="00585448"/>
    <w:rsid w:val="0059327C"/>
    <w:rsid w:val="005A1DD1"/>
    <w:rsid w:val="005B3399"/>
    <w:rsid w:val="005B6A83"/>
    <w:rsid w:val="005C53C2"/>
    <w:rsid w:val="005D5ADB"/>
    <w:rsid w:val="005E334C"/>
    <w:rsid w:val="005F66D0"/>
    <w:rsid w:val="006433C8"/>
    <w:rsid w:val="00645BA8"/>
    <w:rsid w:val="00647949"/>
    <w:rsid w:val="00652894"/>
    <w:rsid w:val="006543B3"/>
    <w:rsid w:val="00660394"/>
    <w:rsid w:val="00681AA4"/>
    <w:rsid w:val="0068274B"/>
    <w:rsid w:val="00683C11"/>
    <w:rsid w:val="006866C8"/>
    <w:rsid w:val="006A243E"/>
    <w:rsid w:val="006B51E1"/>
    <w:rsid w:val="006B6F03"/>
    <w:rsid w:val="006C607F"/>
    <w:rsid w:val="006C6F0C"/>
    <w:rsid w:val="006F7992"/>
    <w:rsid w:val="007053F6"/>
    <w:rsid w:val="00711BB0"/>
    <w:rsid w:val="0071260B"/>
    <w:rsid w:val="00726EBB"/>
    <w:rsid w:val="0073121D"/>
    <w:rsid w:val="00736BD3"/>
    <w:rsid w:val="00740385"/>
    <w:rsid w:val="007412D6"/>
    <w:rsid w:val="0074709B"/>
    <w:rsid w:val="007501FE"/>
    <w:rsid w:val="00766BE5"/>
    <w:rsid w:val="00792EB0"/>
    <w:rsid w:val="007959D7"/>
    <w:rsid w:val="007A6E7B"/>
    <w:rsid w:val="007B491A"/>
    <w:rsid w:val="007B65C5"/>
    <w:rsid w:val="007B6B64"/>
    <w:rsid w:val="007B7800"/>
    <w:rsid w:val="007C5BCB"/>
    <w:rsid w:val="007C7DBC"/>
    <w:rsid w:val="007D3869"/>
    <w:rsid w:val="007E0EB8"/>
    <w:rsid w:val="007E795E"/>
    <w:rsid w:val="007F5FB4"/>
    <w:rsid w:val="007F7C7B"/>
    <w:rsid w:val="00824E03"/>
    <w:rsid w:val="0084210E"/>
    <w:rsid w:val="00842BA3"/>
    <w:rsid w:val="008444B0"/>
    <w:rsid w:val="0085360C"/>
    <w:rsid w:val="00870264"/>
    <w:rsid w:val="008935B3"/>
    <w:rsid w:val="00897738"/>
    <w:rsid w:val="008D0803"/>
    <w:rsid w:val="008D7CD6"/>
    <w:rsid w:val="008E3BEB"/>
    <w:rsid w:val="00903428"/>
    <w:rsid w:val="00910A03"/>
    <w:rsid w:val="00912F35"/>
    <w:rsid w:val="00931054"/>
    <w:rsid w:val="00933DBC"/>
    <w:rsid w:val="00936042"/>
    <w:rsid w:val="0094108F"/>
    <w:rsid w:val="00944255"/>
    <w:rsid w:val="009475FF"/>
    <w:rsid w:val="009558F0"/>
    <w:rsid w:val="00961574"/>
    <w:rsid w:val="00974F3D"/>
    <w:rsid w:val="009837C1"/>
    <w:rsid w:val="0098525B"/>
    <w:rsid w:val="00985A1A"/>
    <w:rsid w:val="009A516F"/>
    <w:rsid w:val="009E25CA"/>
    <w:rsid w:val="009F25BE"/>
    <w:rsid w:val="00A102D8"/>
    <w:rsid w:val="00A16A72"/>
    <w:rsid w:val="00A556A1"/>
    <w:rsid w:val="00A7148A"/>
    <w:rsid w:val="00A757E5"/>
    <w:rsid w:val="00A950A9"/>
    <w:rsid w:val="00AB2174"/>
    <w:rsid w:val="00AF2300"/>
    <w:rsid w:val="00AF5B82"/>
    <w:rsid w:val="00B146EC"/>
    <w:rsid w:val="00B365EE"/>
    <w:rsid w:val="00B4259A"/>
    <w:rsid w:val="00B57705"/>
    <w:rsid w:val="00BA1166"/>
    <w:rsid w:val="00BA5B53"/>
    <w:rsid w:val="00BB3D05"/>
    <w:rsid w:val="00BF56CC"/>
    <w:rsid w:val="00BF6BE8"/>
    <w:rsid w:val="00C02CBD"/>
    <w:rsid w:val="00C062A8"/>
    <w:rsid w:val="00C102E3"/>
    <w:rsid w:val="00C3235F"/>
    <w:rsid w:val="00C433D9"/>
    <w:rsid w:val="00C51EEC"/>
    <w:rsid w:val="00C77333"/>
    <w:rsid w:val="00C904F7"/>
    <w:rsid w:val="00CA2F60"/>
    <w:rsid w:val="00CB35AE"/>
    <w:rsid w:val="00CD7A33"/>
    <w:rsid w:val="00CF2531"/>
    <w:rsid w:val="00D16D81"/>
    <w:rsid w:val="00D4141C"/>
    <w:rsid w:val="00D52C41"/>
    <w:rsid w:val="00D56660"/>
    <w:rsid w:val="00D65AA5"/>
    <w:rsid w:val="00D6646C"/>
    <w:rsid w:val="00D67844"/>
    <w:rsid w:val="00D855EC"/>
    <w:rsid w:val="00DA525D"/>
    <w:rsid w:val="00DA59C8"/>
    <w:rsid w:val="00DB3F3C"/>
    <w:rsid w:val="00DB3FB4"/>
    <w:rsid w:val="00DB63E4"/>
    <w:rsid w:val="00DB6763"/>
    <w:rsid w:val="00DB79F6"/>
    <w:rsid w:val="00DC75FB"/>
    <w:rsid w:val="00DD3DB0"/>
    <w:rsid w:val="00DE1697"/>
    <w:rsid w:val="00E128A4"/>
    <w:rsid w:val="00E345DB"/>
    <w:rsid w:val="00E71B1D"/>
    <w:rsid w:val="00E97299"/>
    <w:rsid w:val="00EB1023"/>
    <w:rsid w:val="00EB7BC5"/>
    <w:rsid w:val="00ED0105"/>
    <w:rsid w:val="00ED2CAE"/>
    <w:rsid w:val="00EE4435"/>
    <w:rsid w:val="00EE5A8F"/>
    <w:rsid w:val="00F0370F"/>
    <w:rsid w:val="00F13D6F"/>
    <w:rsid w:val="00F338C8"/>
    <w:rsid w:val="00F51290"/>
    <w:rsid w:val="00F87984"/>
    <w:rsid w:val="00FA5781"/>
    <w:rsid w:val="00FB3D9C"/>
    <w:rsid w:val="00FC3562"/>
    <w:rsid w:val="00FC7121"/>
    <w:rsid w:val="00FF2B0B"/>
    <w:rsid w:val="00FF4F0E"/>
    <w:rsid w:val="00FF72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15666"/>
  <w15:docId w15:val="{B0176FDF-1126-4ED0-97C3-6CA25283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EC"/>
  </w:style>
  <w:style w:type="paragraph" w:styleId="Ttulo1">
    <w:name w:val="heading 1"/>
    <w:basedOn w:val="Normal"/>
    <w:next w:val="Normal"/>
    <w:link w:val="Ttulo1Car"/>
    <w:uiPriority w:val="9"/>
    <w:qFormat/>
    <w:rsid w:val="008444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next w:val="Normal"/>
    <w:link w:val="TextonotapieCar"/>
    <w:unhideWhenUsed/>
    <w:rsid w:val="00DB79F6"/>
    <w:pPr>
      <w:spacing w:after="0"/>
    </w:pPr>
    <w:rPr>
      <w:rFonts w:eastAsiaTheme="minorEastAsia"/>
      <w:sz w:val="18"/>
      <w:szCs w:val="24"/>
      <w:lang w:val="es-ES_tradnl" w:eastAsia="es-ES"/>
    </w:rPr>
  </w:style>
  <w:style w:type="character" w:customStyle="1" w:styleId="TextonotapieCar">
    <w:name w:val="Texto nota pie Car"/>
    <w:basedOn w:val="Fuentedeprrafopredeter"/>
    <w:link w:val="Textonotapie"/>
    <w:rsid w:val="00DB79F6"/>
    <w:rPr>
      <w:rFonts w:ascii="Arial" w:eastAsiaTheme="minorEastAsia" w:hAnsi="Arial"/>
      <w:sz w:val="18"/>
      <w:szCs w:val="24"/>
      <w:lang w:val="es-ES_tradnl" w:eastAsia="es-ES"/>
    </w:rPr>
  </w:style>
  <w:style w:type="paragraph" w:customStyle="1" w:styleId="Cita1">
    <w:name w:val="Cita1"/>
    <w:basedOn w:val="Cita"/>
    <w:link w:val="Cita1Car"/>
    <w:autoRedefine/>
    <w:qFormat/>
    <w:rsid w:val="00FC7121"/>
    <w:pPr>
      <w:jc w:val="both"/>
    </w:pPr>
    <w:rPr>
      <w:rFonts w:cstheme="minorHAnsi"/>
      <w:i w:val="0"/>
      <w:color w:val="auto"/>
    </w:rPr>
  </w:style>
  <w:style w:type="character" w:customStyle="1" w:styleId="Cita1Car">
    <w:name w:val="Cita1 Car"/>
    <w:basedOn w:val="CitaCar"/>
    <w:link w:val="Cita1"/>
    <w:rsid w:val="00FC7121"/>
    <w:rPr>
      <w:rFonts w:ascii="Arial" w:hAnsi="Arial" w:cstheme="minorHAnsi"/>
      <w:i w:val="0"/>
      <w:iCs/>
      <w:color w:val="404040" w:themeColor="text1" w:themeTint="BF"/>
    </w:rPr>
  </w:style>
  <w:style w:type="paragraph" w:styleId="Cita">
    <w:name w:val="Quote"/>
    <w:basedOn w:val="Normal"/>
    <w:next w:val="Normal"/>
    <w:link w:val="CitaCar"/>
    <w:uiPriority w:val="29"/>
    <w:qFormat/>
    <w:rsid w:val="00107E57"/>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07E57"/>
    <w:rPr>
      <w:rFonts w:ascii="Arial" w:hAnsi="Arial"/>
      <w:i/>
      <w:iCs/>
      <w:color w:val="404040" w:themeColor="text1" w:themeTint="BF"/>
    </w:rPr>
  </w:style>
  <w:style w:type="paragraph" w:styleId="Prrafodelista">
    <w:name w:val="List Paragraph"/>
    <w:basedOn w:val="Normal"/>
    <w:uiPriority w:val="34"/>
    <w:qFormat/>
    <w:rsid w:val="004F35EC"/>
    <w:pPr>
      <w:ind w:left="720"/>
      <w:contextualSpacing/>
    </w:pPr>
  </w:style>
  <w:style w:type="character" w:styleId="Hipervnculo">
    <w:name w:val="Hyperlink"/>
    <w:basedOn w:val="Fuentedeprrafopredeter"/>
    <w:uiPriority w:val="99"/>
    <w:unhideWhenUsed/>
    <w:rsid w:val="004F35EC"/>
    <w:rPr>
      <w:color w:val="0563C1" w:themeColor="hyperlink"/>
      <w:u w:val="single"/>
    </w:rPr>
  </w:style>
  <w:style w:type="table" w:styleId="Tablaconcuadrcula">
    <w:name w:val="Table Grid"/>
    <w:basedOn w:val="Tablanormal"/>
    <w:uiPriority w:val="39"/>
    <w:rsid w:val="004F35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78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844"/>
  </w:style>
  <w:style w:type="paragraph" w:styleId="Piedepgina">
    <w:name w:val="footer"/>
    <w:basedOn w:val="Normal"/>
    <w:link w:val="PiedepginaCar"/>
    <w:uiPriority w:val="99"/>
    <w:unhideWhenUsed/>
    <w:rsid w:val="00D678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844"/>
  </w:style>
  <w:style w:type="paragraph" w:styleId="Textodeglobo">
    <w:name w:val="Balloon Text"/>
    <w:basedOn w:val="Normal"/>
    <w:link w:val="TextodegloboCar"/>
    <w:uiPriority w:val="99"/>
    <w:semiHidden/>
    <w:unhideWhenUsed/>
    <w:rsid w:val="00593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27C"/>
    <w:rPr>
      <w:rFonts w:ascii="Tahoma" w:hAnsi="Tahoma" w:cs="Tahoma"/>
      <w:sz w:val="16"/>
      <w:szCs w:val="16"/>
    </w:rPr>
  </w:style>
  <w:style w:type="character" w:styleId="Refdenotaalpie">
    <w:name w:val="footnote reference"/>
    <w:basedOn w:val="Fuentedeprrafopredeter"/>
    <w:uiPriority w:val="99"/>
    <w:semiHidden/>
    <w:unhideWhenUsed/>
    <w:rsid w:val="0084210E"/>
    <w:rPr>
      <w:vertAlign w:val="superscript"/>
    </w:rPr>
  </w:style>
  <w:style w:type="paragraph" w:styleId="NormalWeb">
    <w:name w:val="Normal (Web)"/>
    <w:basedOn w:val="Normal"/>
    <w:uiPriority w:val="99"/>
    <w:semiHidden/>
    <w:unhideWhenUsed/>
    <w:rsid w:val="00272D49"/>
    <w:rPr>
      <w:rFonts w:ascii="Times New Roman" w:hAnsi="Times New Roman" w:cs="Times New Roman"/>
      <w:sz w:val="24"/>
      <w:szCs w:val="24"/>
    </w:rPr>
  </w:style>
  <w:style w:type="paragraph" w:customStyle="1" w:styleId="Default">
    <w:name w:val="Default"/>
    <w:rsid w:val="00DB3FB4"/>
    <w:pPr>
      <w:autoSpaceDE w:val="0"/>
      <w:autoSpaceDN w:val="0"/>
      <w:adjustRightInd w:val="0"/>
      <w:spacing w:after="0" w:line="240" w:lineRule="auto"/>
    </w:pPr>
    <w:rPr>
      <w:rFonts w:ascii="Liberation Mono" w:hAnsi="Liberation Mono" w:cs="Liberation Mono"/>
      <w:color w:val="000000"/>
      <w:sz w:val="24"/>
      <w:szCs w:val="24"/>
    </w:rPr>
  </w:style>
  <w:style w:type="character" w:customStyle="1" w:styleId="Ttulo1Car">
    <w:name w:val="Título 1 Car"/>
    <w:basedOn w:val="Fuentedeprrafopredeter"/>
    <w:link w:val="Ttulo1"/>
    <w:uiPriority w:val="9"/>
    <w:rsid w:val="008444B0"/>
    <w:rPr>
      <w:rFonts w:asciiTheme="majorHAnsi" w:eastAsiaTheme="majorEastAsia" w:hAnsiTheme="majorHAnsi" w:cstheme="majorBidi"/>
      <w:b/>
      <w:bCs/>
      <w:color w:val="2E74B5" w:themeColor="accent1" w:themeShade="BF"/>
      <w:sz w:val="28"/>
      <w:szCs w:val="28"/>
    </w:rPr>
  </w:style>
  <w:style w:type="character" w:styleId="Textoennegrita">
    <w:name w:val="Strong"/>
    <w:basedOn w:val="Fuentedeprrafopredeter"/>
    <w:uiPriority w:val="22"/>
    <w:qFormat/>
    <w:rsid w:val="00491023"/>
    <w:rPr>
      <w:b/>
      <w:bCs/>
    </w:rPr>
  </w:style>
  <w:style w:type="character" w:styleId="nfasis">
    <w:name w:val="Emphasis"/>
    <w:basedOn w:val="Fuentedeprrafopredeter"/>
    <w:uiPriority w:val="20"/>
    <w:qFormat/>
    <w:rsid w:val="00491023"/>
    <w:rPr>
      <w:i/>
      <w:iCs/>
    </w:rPr>
  </w:style>
  <w:style w:type="character" w:styleId="Hipervnculovisitado">
    <w:name w:val="FollowedHyperlink"/>
    <w:basedOn w:val="Fuentedeprrafopredeter"/>
    <w:uiPriority w:val="99"/>
    <w:semiHidden/>
    <w:unhideWhenUsed/>
    <w:rsid w:val="00D56660"/>
    <w:rPr>
      <w:color w:val="954F72" w:themeColor="followedHyperlink"/>
      <w:u w:val="single"/>
    </w:rPr>
  </w:style>
  <w:style w:type="character" w:styleId="Refdecomentario">
    <w:name w:val="annotation reference"/>
    <w:basedOn w:val="Fuentedeprrafopredeter"/>
    <w:uiPriority w:val="99"/>
    <w:semiHidden/>
    <w:unhideWhenUsed/>
    <w:rsid w:val="0085360C"/>
    <w:rPr>
      <w:sz w:val="16"/>
      <w:szCs w:val="16"/>
    </w:rPr>
  </w:style>
  <w:style w:type="paragraph" w:styleId="Textocomentario">
    <w:name w:val="annotation text"/>
    <w:basedOn w:val="Normal"/>
    <w:link w:val="TextocomentarioCar"/>
    <w:uiPriority w:val="99"/>
    <w:semiHidden/>
    <w:unhideWhenUsed/>
    <w:rsid w:val="00853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60C"/>
    <w:rPr>
      <w:sz w:val="20"/>
      <w:szCs w:val="20"/>
    </w:rPr>
  </w:style>
  <w:style w:type="paragraph" w:styleId="Asuntodelcomentario">
    <w:name w:val="annotation subject"/>
    <w:basedOn w:val="Textocomentario"/>
    <w:next w:val="Textocomentario"/>
    <w:link w:val="AsuntodelcomentarioCar"/>
    <w:uiPriority w:val="99"/>
    <w:semiHidden/>
    <w:unhideWhenUsed/>
    <w:rsid w:val="0085360C"/>
    <w:rPr>
      <w:b/>
      <w:bCs/>
    </w:rPr>
  </w:style>
  <w:style w:type="character" w:customStyle="1" w:styleId="AsuntodelcomentarioCar">
    <w:name w:val="Asunto del comentario Car"/>
    <w:basedOn w:val="TextocomentarioCar"/>
    <w:link w:val="Asuntodelcomentario"/>
    <w:uiPriority w:val="99"/>
    <w:semiHidden/>
    <w:rsid w:val="0085360C"/>
    <w:rPr>
      <w:b/>
      <w:bCs/>
      <w:sz w:val="20"/>
      <w:szCs w:val="20"/>
    </w:rPr>
  </w:style>
  <w:style w:type="character" w:styleId="Mencinsinresolver">
    <w:name w:val="Unresolved Mention"/>
    <w:basedOn w:val="Fuentedeprrafopredeter"/>
    <w:uiPriority w:val="99"/>
    <w:semiHidden/>
    <w:unhideWhenUsed/>
    <w:rsid w:val="00AF2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8406">
      <w:bodyDiv w:val="1"/>
      <w:marLeft w:val="0"/>
      <w:marRight w:val="0"/>
      <w:marTop w:val="0"/>
      <w:marBottom w:val="0"/>
      <w:divBdr>
        <w:top w:val="none" w:sz="0" w:space="0" w:color="auto"/>
        <w:left w:val="none" w:sz="0" w:space="0" w:color="auto"/>
        <w:bottom w:val="none" w:sz="0" w:space="0" w:color="auto"/>
        <w:right w:val="none" w:sz="0" w:space="0" w:color="auto"/>
      </w:divBdr>
    </w:div>
    <w:div w:id="116947389">
      <w:bodyDiv w:val="1"/>
      <w:marLeft w:val="0"/>
      <w:marRight w:val="0"/>
      <w:marTop w:val="0"/>
      <w:marBottom w:val="0"/>
      <w:divBdr>
        <w:top w:val="none" w:sz="0" w:space="0" w:color="auto"/>
        <w:left w:val="none" w:sz="0" w:space="0" w:color="auto"/>
        <w:bottom w:val="none" w:sz="0" w:space="0" w:color="auto"/>
        <w:right w:val="none" w:sz="0" w:space="0" w:color="auto"/>
      </w:divBdr>
    </w:div>
    <w:div w:id="141700194">
      <w:bodyDiv w:val="1"/>
      <w:marLeft w:val="0"/>
      <w:marRight w:val="0"/>
      <w:marTop w:val="0"/>
      <w:marBottom w:val="0"/>
      <w:divBdr>
        <w:top w:val="none" w:sz="0" w:space="0" w:color="auto"/>
        <w:left w:val="none" w:sz="0" w:space="0" w:color="auto"/>
        <w:bottom w:val="none" w:sz="0" w:space="0" w:color="auto"/>
        <w:right w:val="none" w:sz="0" w:space="0" w:color="auto"/>
      </w:divBdr>
    </w:div>
    <w:div w:id="173809153">
      <w:bodyDiv w:val="1"/>
      <w:marLeft w:val="0"/>
      <w:marRight w:val="0"/>
      <w:marTop w:val="0"/>
      <w:marBottom w:val="0"/>
      <w:divBdr>
        <w:top w:val="none" w:sz="0" w:space="0" w:color="auto"/>
        <w:left w:val="none" w:sz="0" w:space="0" w:color="auto"/>
        <w:bottom w:val="none" w:sz="0" w:space="0" w:color="auto"/>
        <w:right w:val="none" w:sz="0" w:space="0" w:color="auto"/>
      </w:divBdr>
    </w:div>
    <w:div w:id="535849003">
      <w:bodyDiv w:val="1"/>
      <w:marLeft w:val="0"/>
      <w:marRight w:val="0"/>
      <w:marTop w:val="0"/>
      <w:marBottom w:val="0"/>
      <w:divBdr>
        <w:top w:val="none" w:sz="0" w:space="0" w:color="auto"/>
        <w:left w:val="none" w:sz="0" w:space="0" w:color="auto"/>
        <w:bottom w:val="none" w:sz="0" w:space="0" w:color="auto"/>
        <w:right w:val="none" w:sz="0" w:space="0" w:color="auto"/>
      </w:divBdr>
    </w:div>
    <w:div w:id="664166441">
      <w:bodyDiv w:val="1"/>
      <w:marLeft w:val="0"/>
      <w:marRight w:val="0"/>
      <w:marTop w:val="0"/>
      <w:marBottom w:val="0"/>
      <w:divBdr>
        <w:top w:val="none" w:sz="0" w:space="0" w:color="auto"/>
        <w:left w:val="none" w:sz="0" w:space="0" w:color="auto"/>
        <w:bottom w:val="none" w:sz="0" w:space="0" w:color="auto"/>
        <w:right w:val="none" w:sz="0" w:space="0" w:color="auto"/>
      </w:divBdr>
    </w:div>
    <w:div w:id="711228548">
      <w:bodyDiv w:val="1"/>
      <w:marLeft w:val="0"/>
      <w:marRight w:val="0"/>
      <w:marTop w:val="0"/>
      <w:marBottom w:val="0"/>
      <w:divBdr>
        <w:top w:val="none" w:sz="0" w:space="0" w:color="auto"/>
        <w:left w:val="none" w:sz="0" w:space="0" w:color="auto"/>
        <w:bottom w:val="none" w:sz="0" w:space="0" w:color="auto"/>
        <w:right w:val="none" w:sz="0" w:space="0" w:color="auto"/>
      </w:divBdr>
    </w:div>
    <w:div w:id="995497313">
      <w:bodyDiv w:val="1"/>
      <w:marLeft w:val="0"/>
      <w:marRight w:val="0"/>
      <w:marTop w:val="0"/>
      <w:marBottom w:val="0"/>
      <w:divBdr>
        <w:top w:val="none" w:sz="0" w:space="0" w:color="auto"/>
        <w:left w:val="none" w:sz="0" w:space="0" w:color="auto"/>
        <w:bottom w:val="none" w:sz="0" w:space="0" w:color="auto"/>
        <w:right w:val="none" w:sz="0" w:space="0" w:color="auto"/>
      </w:divBdr>
    </w:div>
    <w:div w:id="1068303041">
      <w:bodyDiv w:val="1"/>
      <w:marLeft w:val="0"/>
      <w:marRight w:val="0"/>
      <w:marTop w:val="0"/>
      <w:marBottom w:val="0"/>
      <w:divBdr>
        <w:top w:val="none" w:sz="0" w:space="0" w:color="auto"/>
        <w:left w:val="none" w:sz="0" w:space="0" w:color="auto"/>
        <w:bottom w:val="none" w:sz="0" w:space="0" w:color="auto"/>
        <w:right w:val="none" w:sz="0" w:space="0" w:color="auto"/>
      </w:divBdr>
    </w:div>
    <w:div w:id="1126118848">
      <w:bodyDiv w:val="1"/>
      <w:marLeft w:val="0"/>
      <w:marRight w:val="0"/>
      <w:marTop w:val="0"/>
      <w:marBottom w:val="0"/>
      <w:divBdr>
        <w:top w:val="none" w:sz="0" w:space="0" w:color="auto"/>
        <w:left w:val="none" w:sz="0" w:space="0" w:color="auto"/>
        <w:bottom w:val="none" w:sz="0" w:space="0" w:color="auto"/>
        <w:right w:val="none" w:sz="0" w:space="0" w:color="auto"/>
      </w:divBdr>
    </w:div>
    <w:div w:id="1157455611">
      <w:bodyDiv w:val="1"/>
      <w:marLeft w:val="0"/>
      <w:marRight w:val="0"/>
      <w:marTop w:val="0"/>
      <w:marBottom w:val="0"/>
      <w:divBdr>
        <w:top w:val="none" w:sz="0" w:space="0" w:color="auto"/>
        <w:left w:val="none" w:sz="0" w:space="0" w:color="auto"/>
        <w:bottom w:val="none" w:sz="0" w:space="0" w:color="auto"/>
        <w:right w:val="none" w:sz="0" w:space="0" w:color="auto"/>
      </w:divBdr>
    </w:div>
    <w:div w:id="1213536412">
      <w:bodyDiv w:val="1"/>
      <w:marLeft w:val="0"/>
      <w:marRight w:val="0"/>
      <w:marTop w:val="0"/>
      <w:marBottom w:val="0"/>
      <w:divBdr>
        <w:top w:val="none" w:sz="0" w:space="0" w:color="auto"/>
        <w:left w:val="none" w:sz="0" w:space="0" w:color="auto"/>
        <w:bottom w:val="none" w:sz="0" w:space="0" w:color="auto"/>
        <w:right w:val="none" w:sz="0" w:space="0" w:color="auto"/>
      </w:divBdr>
    </w:div>
    <w:div w:id="1426263368">
      <w:bodyDiv w:val="1"/>
      <w:marLeft w:val="0"/>
      <w:marRight w:val="0"/>
      <w:marTop w:val="0"/>
      <w:marBottom w:val="0"/>
      <w:divBdr>
        <w:top w:val="none" w:sz="0" w:space="0" w:color="auto"/>
        <w:left w:val="none" w:sz="0" w:space="0" w:color="auto"/>
        <w:bottom w:val="none" w:sz="0" w:space="0" w:color="auto"/>
        <w:right w:val="none" w:sz="0" w:space="0" w:color="auto"/>
      </w:divBdr>
    </w:div>
    <w:div w:id="1666277377">
      <w:bodyDiv w:val="1"/>
      <w:marLeft w:val="0"/>
      <w:marRight w:val="0"/>
      <w:marTop w:val="0"/>
      <w:marBottom w:val="0"/>
      <w:divBdr>
        <w:top w:val="none" w:sz="0" w:space="0" w:color="auto"/>
        <w:left w:val="none" w:sz="0" w:space="0" w:color="auto"/>
        <w:bottom w:val="none" w:sz="0" w:space="0" w:color="auto"/>
        <w:right w:val="none" w:sz="0" w:space="0" w:color="auto"/>
      </w:divBdr>
    </w:div>
    <w:div w:id="1745450356">
      <w:bodyDiv w:val="1"/>
      <w:marLeft w:val="0"/>
      <w:marRight w:val="0"/>
      <w:marTop w:val="0"/>
      <w:marBottom w:val="0"/>
      <w:divBdr>
        <w:top w:val="none" w:sz="0" w:space="0" w:color="auto"/>
        <w:left w:val="none" w:sz="0" w:space="0" w:color="auto"/>
        <w:bottom w:val="none" w:sz="0" w:space="0" w:color="auto"/>
        <w:right w:val="none" w:sz="0" w:space="0" w:color="auto"/>
      </w:divBdr>
    </w:div>
    <w:div w:id="1927956445">
      <w:bodyDiv w:val="1"/>
      <w:marLeft w:val="0"/>
      <w:marRight w:val="0"/>
      <w:marTop w:val="0"/>
      <w:marBottom w:val="0"/>
      <w:divBdr>
        <w:top w:val="none" w:sz="0" w:space="0" w:color="auto"/>
        <w:left w:val="none" w:sz="0" w:space="0" w:color="auto"/>
        <w:bottom w:val="none" w:sz="0" w:space="0" w:color="auto"/>
        <w:right w:val="none" w:sz="0" w:space="0" w:color="auto"/>
      </w:divBdr>
    </w:div>
    <w:div w:id="1971592864">
      <w:bodyDiv w:val="1"/>
      <w:marLeft w:val="0"/>
      <w:marRight w:val="0"/>
      <w:marTop w:val="0"/>
      <w:marBottom w:val="0"/>
      <w:divBdr>
        <w:top w:val="none" w:sz="0" w:space="0" w:color="auto"/>
        <w:left w:val="none" w:sz="0" w:space="0" w:color="auto"/>
        <w:bottom w:val="none" w:sz="0" w:space="0" w:color="auto"/>
        <w:right w:val="none" w:sz="0" w:space="0" w:color="auto"/>
      </w:divBdr>
    </w:div>
    <w:div w:id="2040466884">
      <w:bodyDiv w:val="1"/>
      <w:marLeft w:val="0"/>
      <w:marRight w:val="0"/>
      <w:marTop w:val="0"/>
      <w:marBottom w:val="0"/>
      <w:divBdr>
        <w:top w:val="none" w:sz="0" w:space="0" w:color="auto"/>
        <w:left w:val="none" w:sz="0" w:space="0" w:color="auto"/>
        <w:bottom w:val="none" w:sz="0" w:space="0" w:color="auto"/>
        <w:right w:val="none" w:sz="0" w:space="0" w:color="auto"/>
      </w:divBdr>
    </w:div>
    <w:div w:id="20627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aeonline.com.ar/2015/07/22/los-delitos-aeronauticos-en-el-codigo-aeronautico-argenti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3A472524-4A17-49AC-AC7A-119271A0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4121</Words>
  <Characters>22671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Los delitos aeronáuticos</vt:lpstr>
    </vt:vector>
  </TitlesOfParts>
  <Company>Poder Judicial de la Nacion</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delitos aeronáuticos</dc:title>
  <dc:creator>C .;Sergio Hernán Salaverry</dc:creator>
  <cp:keywords>Codigo - Aeronautico</cp:keywords>
  <dc:description>Este trabajo aborda la complejidad normativa en torno a los delitos aeronáuticos en Argentina, evidenciando discrepancias interpretativas y conflictos jurídicos. Comienza con una revisión histórica de la normativa aeronáutica desde 1925 hasta la actualidad, destacando la ley 14.307 como referencia principal. Luego, presenta casos judiciales que ilustran las diferentes interpretaciones sobre qué normativa aplicar en casos concretos. Destaca la necesidad de una reforma legislativa urgente para resolver la incertidumbre jurídica y garantizar la seguridad jurídica. Propone la participación de expertos y la consideración de estándares internacionales para desarrollar una legislación clara, coherente y actualizada.</dc:description>
  <cp:lastModifiedBy>Victor Omar Ortiz Chavez</cp:lastModifiedBy>
  <cp:revision>3</cp:revision>
  <dcterms:created xsi:type="dcterms:W3CDTF">2025-06-25T16:47:00Z</dcterms:created>
  <dcterms:modified xsi:type="dcterms:W3CDTF">2025-06-26T01:49:00Z</dcterms:modified>
</cp:coreProperties>
</file>