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header2.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line="259" w:lineRule="auto"/>
      </w:pPr>
      <w:r>
        <w:rPr/>
        <w:t>Comentario a “Control de convencionalidad y prescripción de la acción penal. Impacto del sistema interamericano de derechos humanos</w:t>
      </w:r>
      <w:r>
        <w:rPr>
          <w:spacing w:val="-3"/>
        </w:rPr>
        <w:t> </w:t>
      </w:r>
      <w:r>
        <w:rPr/>
        <w:t>en</w:t>
      </w:r>
      <w:r>
        <w:rPr>
          <w:spacing w:val="-6"/>
        </w:rPr>
        <w:t> </w:t>
      </w:r>
      <w:r>
        <w:rPr/>
        <w:t>materia</w:t>
      </w:r>
      <w:r>
        <w:rPr>
          <w:spacing w:val="-2"/>
        </w:rPr>
        <w:t> </w:t>
      </w:r>
      <w:r>
        <w:rPr/>
        <w:t>de</w:t>
      </w:r>
      <w:r>
        <w:rPr>
          <w:spacing w:val="-3"/>
        </w:rPr>
        <w:t> </w:t>
      </w:r>
      <w:r>
        <w:rPr/>
        <w:t>prescripción</w:t>
      </w:r>
      <w:r>
        <w:rPr>
          <w:spacing w:val="-6"/>
        </w:rPr>
        <w:t> </w:t>
      </w:r>
      <w:r>
        <w:rPr/>
        <w:t>penal</w:t>
      </w:r>
      <w:r>
        <w:rPr>
          <w:spacing w:val="-8"/>
        </w:rPr>
        <w:t> </w:t>
      </w:r>
      <w:r>
        <w:rPr/>
        <w:t>de</w:t>
      </w:r>
      <w:r>
        <w:rPr>
          <w:spacing w:val="-3"/>
        </w:rPr>
        <w:t> </w:t>
      </w:r>
      <w:r>
        <w:rPr/>
        <w:t>los</w:t>
      </w:r>
      <w:r>
        <w:rPr>
          <w:spacing w:val="-3"/>
        </w:rPr>
        <w:t> </w:t>
      </w:r>
      <w:r>
        <w:rPr/>
        <w:t>miembros</w:t>
      </w:r>
      <w:r>
        <w:rPr>
          <w:spacing w:val="-3"/>
        </w:rPr>
        <w:t> </w:t>
      </w:r>
      <w:r>
        <w:rPr/>
        <w:t>de</w:t>
      </w:r>
      <w:r>
        <w:rPr>
          <w:spacing w:val="-3"/>
        </w:rPr>
        <w:t> </w:t>
      </w:r>
      <w:r>
        <w:rPr/>
        <w:t>las fuerzas de seguridad” de Fabián Luis Riquert</w:t>
      </w:r>
    </w:p>
    <w:p>
      <w:pPr>
        <w:pStyle w:val="BodyText"/>
        <w:rPr>
          <w:rFonts w:ascii="Arial"/>
          <w:b/>
          <w:sz w:val="26"/>
        </w:rPr>
      </w:pPr>
    </w:p>
    <w:p>
      <w:pPr>
        <w:pStyle w:val="BodyText"/>
        <w:spacing w:before="1"/>
        <w:rPr>
          <w:rFonts w:ascii="Arial"/>
          <w:b/>
          <w:sz w:val="28"/>
        </w:rPr>
      </w:pPr>
    </w:p>
    <w:p>
      <w:pPr>
        <w:pStyle w:val="Heading1"/>
      </w:pPr>
      <w:r>
        <w:rPr/>
        <w:t>María</w:t>
      </w:r>
      <w:r>
        <w:rPr>
          <w:spacing w:val="-9"/>
        </w:rPr>
        <w:t> </w:t>
      </w:r>
      <w:r>
        <w:rPr/>
        <w:t>José</w:t>
      </w:r>
      <w:r>
        <w:rPr>
          <w:spacing w:val="-3"/>
        </w:rPr>
        <w:t> </w:t>
      </w:r>
      <w:r>
        <w:rPr>
          <w:spacing w:val="-2"/>
        </w:rPr>
        <w:t>Marchetti</w:t>
      </w:r>
    </w:p>
    <w:p>
      <w:pPr>
        <w:pStyle w:val="BodyText"/>
        <w:rPr>
          <w:rFonts w:ascii="Arial"/>
          <w:b/>
          <w:i/>
        </w:rPr>
      </w:pPr>
    </w:p>
    <w:p>
      <w:pPr>
        <w:spacing w:before="0"/>
        <w:ind w:left="473" w:right="469" w:firstLine="0"/>
        <w:jc w:val="center"/>
        <w:rPr>
          <w:rFonts w:ascii="Arial"/>
          <w:i/>
          <w:sz w:val="18"/>
        </w:rPr>
      </w:pPr>
      <w:r>
        <w:rPr>
          <w:rFonts w:ascii="Arial"/>
          <w:i/>
          <w:sz w:val="18"/>
        </w:rPr>
        <w:t>(Universidad</w:t>
      </w:r>
      <w:r>
        <w:rPr>
          <w:rFonts w:ascii="Arial"/>
          <w:i/>
          <w:spacing w:val="-2"/>
          <w:sz w:val="18"/>
        </w:rPr>
        <w:t> </w:t>
      </w:r>
      <w:r>
        <w:rPr>
          <w:rFonts w:ascii="Arial"/>
          <w:i/>
          <w:sz w:val="18"/>
        </w:rPr>
        <w:t>Nacional</w:t>
      </w:r>
      <w:r>
        <w:rPr>
          <w:rFonts w:ascii="Arial"/>
          <w:i/>
          <w:spacing w:val="-7"/>
          <w:sz w:val="18"/>
        </w:rPr>
        <w:t> </w:t>
      </w:r>
      <w:r>
        <w:rPr>
          <w:rFonts w:ascii="Arial"/>
          <w:i/>
          <w:sz w:val="18"/>
        </w:rPr>
        <w:t>de</w:t>
      </w:r>
      <w:r>
        <w:rPr>
          <w:rFonts w:ascii="Arial"/>
          <w:i/>
          <w:spacing w:val="-2"/>
          <w:sz w:val="18"/>
        </w:rPr>
        <w:t> </w:t>
      </w:r>
      <w:r>
        <w:rPr>
          <w:rFonts w:ascii="Arial"/>
          <w:i/>
          <w:sz w:val="18"/>
        </w:rPr>
        <w:t>Mar</w:t>
      </w:r>
      <w:r>
        <w:rPr>
          <w:rFonts w:ascii="Arial"/>
          <w:i/>
          <w:spacing w:val="-3"/>
          <w:sz w:val="18"/>
        </w:rPr>
        <w:t> </w:t>
      </w:r>
      <w:r>
        <w:rPr>
          <w:rFonts w:ascii="Arial"/>
          <w:i/>
          <w:sz w:val="18"/>
        </w:rPr>
        <w:t>del</w:t>
      </w:r>
      <w:r>
        <w:rPr>
          <w:rFonts w:ascii="Arial"/>
          <w:i/>
          <w:spacing w:val="-8"/>
          <w:sz w:val="18"/>
        </w:rPr>
        <w:t> </w:t>
      </w:r>
      <w:r>
        <w:rPr>
          <w:rFonts w:ascii="Arial"/>
          <w:i/>
          <w:sz w:val="18"/>
        </w:rPr>
        <w:t>Plata,</w:t>
      </w:r>
      <w:r>
        <w:rPr>
          <w:rFonts w:ascii="Arial"/>
          <w:i/>
          <w:spacing w:val="2"/>
          <w:sz w:val="18"/>
        </w:rPr>
        <w:t> </w:t>
      </w:r>
      <w:r>
        <w:rPr>
          <w:rFonts w:ascii="Arial"/>
          <w:i/>
          <w:spacing w:val="-2"/>
          <w:sz w:val="18"/>
        </w:rPr>
        <w:t>Argentina)</w:t>
      </w:r>
    </w:p>
    <w:p>
      <w:pPr>
        <w:pStyle w:val="BodyText"/>
        <w:rPr>
          <w:rFonts w:ascii="Arial"/>
          <w:i/>
          <w:sz w:val="18"/>
        </w:rPr>
      </w:pPr>
    </w:p>
    <w:p>
      <w:pPr>
        <w:pStyle w:val="Heading1"/>
      </w:pPr>
      <w:r>
        <w:rPr/>
        <w:t>Javier</w:t>
      </w:r>
      <w:r>
        <w:rPr>
          <w:spacing w:val="-5"/>
        </w:rPr>
        <w:t> </w:t>
      </w:r>
      <w:r>
        <w:rPr/>
        <w:t>Di</w:t>
      </w:r>
      <w:r>
        <w:rPr>
          <w:spacing w:val="-1"/>
        </w:rPr>
        <w:t> </w:t>
      </w:r>
      <w:r>
        <w:rPr>
          <w:spacing w:val="-2"/>
        </w:rPr>
        <w:t>Iorio</w:t>
      </w:r>
    </w:p>
    <w:p>
      <w:pPr>
        <w:pStyle w:val="BodyText"/>
        <w:spacing w:before="1"/>
        <w:rPr>
          <w:rFonts w:ascii="Arial"/>
          <w:b/>
          <w:i/>
          <w:sz w:val="22"/>
        </w:rPr>
      </w:pPr>
    </w:p>
    <w:p>
      <w:pPr>
        <w:spacing w:before="0"/>
        <w:ind w:left="473" w:right="469" w:firstLine="0"/>
        <w:jc w:val="center"/>
        <w:rPr>
          <w:rFonts w:ascii="Arial"/>
          <w:i/>
          <w:sz w:val="18"/>
        </w:rPr>
      </w:pPr>
      <w:r>
        <w:rPr/>
        <w:drawing>
          <wp:anchor distT="0" distB="0" distL="0" distR="0" allowOverlap="1" layoutInCell="1" locked="0" behindDoc="0" simplePos="0" relativeHeight="15729152">
            <wp:simplePos x="0" y="0"/>
            <wp:positionH relativeFrom="page">
              <wp:posOffset>4238625</wp:posOffset>
            </wp:positionH>
            <wp:positionV relativeFrom="paragraph">
              <wp:posOffset>280820</wp:posOffset>
            </wp:positionV>
            <wp:extent cx="2000250" cy="2819399"/>
            <wp:effectExtent l="0" t="0" r="0" b="0"/>
            <wp:wrapNone/>
            <wp:docPr id="1" name="image1.jpeg" descr="https://lh3.googleusercontent.com/Fm4VltQLfgcZY6Ec3EdBnbyyzKnmV6eOydn1jECgYItq9hIJOd_mRX1NZTpo4LUBHKGCPAV7W3B1JwEHB2ltx952NBtqPbcOHmmCVUFAi3G55VB7C6P67fK7XV0YEFigDxAnG2lH8I_5bnxLPls3tGE"/>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2000250" cy="2819399"/>
                    </a:xfrm>
                    <a:prstGeom prst="rect">
                      <a:avLst/>
                    </a:prstGeom>
                  </pic:spPr>
                </pic:pic>
              </a:graphicData>
            </a:graphic>
          </wp:anchor>
        </w:drawing>
      </w:r>
      <w:r>
        <w:rPr>
          <w:rFonts w:ascii="Arial"/>
          <w:i/>
          <w:sz w:val="18"/>
        </w:rPr>
        <w:t>(Universidad</w:t>
      </w:r>
      <w:r>
        <w:rPr>
          <w:rFonts w:ascii="Arial"/>
          <w:i/>
          <w:spacing w:val="-2"/>
          <w:sz w:val="18"/>
        </w:rPr>
        <w:t> </w:t>
      </w:r>
      <w:r>
        <w:rPr>
          <w:rFonts w:ascii="Arial"/>
          <w:i/>
          <w:sz w:val="18"/>
        </w:rPr>
        <w:t>Nacional</w:t>
      </w:r>
      <w:r>
        <w:rPr>
          <w:rFonts w:ascii="Arial"/>
          <w:i/>
          <w:spacing w:val="-7"/>
          <w:sz w:val="18"/>
        </w:rPr>
        <w:t> </w:t>
      </w:r>
      <w:r>
        <w:rPr>
          <w:rFonts w:ascii="Arial"/>
          <w:i/>
          <w:sz w:val="18"/>
        </w:rPr>
        <w:t>de</w:t>
      </w:r>
      <w:r>
        <w:rPr>
          <w:rFonts w:ascii="Arial"/>
          <w:i/>
          <w:spacing w:val="-2"/>
          <w:sz w:val="18"/>
        </w:rPr>
        <w:t> </w:t>
      </w:r>
      <w:r>
        <w:rPr>
          <w:rFonts w:ascii="Arial"/>
          <w:i/>
          <w:sz w:val="18"/>
        </w:rPr>
        <w:t>Mar</w:t>
      </w:r>
      <w:r>
        <w:rPr>
          <w:rFonts w:ascii="Arial"/>
          <w:i/>
          <w:spacing w:val="-3"/>
          <w:sz w:val="18"/>
        </w:rPr>
        <w:t> </w:t>
      </w:r>
      <w:r>
        <w:rPr>
          <w:rFonts w:ascii="Arial"/>
          <w:i/>
          <w:sz w:val="18"/>
        </w:rPr>
        <w:t>del</w:t>
      </w:r>
      <w:r>
        <w:rPr>
          <w:rFonts w:ascii="Arial"/>
          <w:i/>
          <w:spacing w:val="-8"/>
          <w:sz w:val="18"/>
        </w:rPr>
        <w:t> </w:t>
      </w:r>
      <w:r>
        <w:rPr>
          <w:rFonts w:ascii="Arial"/>
          <w:i/>
          <w:sz w:val="18"/>
        </w:rPr>
        <w:t>Plata,</w:t>
      </w:r>
      <w:r>
        <w:rPr>
          <w:rFonts w:ascii="Arial"/>
          <w:i/>
          <w:spacing w:val="2"/>
          <w:sz w:val="18"/>
        </w:rPr>
        <w:t> </w:t>
      </w:r>
      <w:r>
        <w:rPr>
          <w:rFonts w:ascii="Arial"/>
          <w:i/>
          <w:spacing w:val="-2"/>
          <w:sz w:val="18"/>
        </w:rPr>
        <w:t>Argentina)</w:t>
      </w: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pStyle w:val="BodyText"/>
        <w:rPr>
          <w:rFonts w:ascii="Arial"/>
          <w:i/>
          <w:sz w:val="23"/>
        </w:rPr>
      </w:pPr>
    </w:p>
    <w:p>
      <w:pPr>
        <w:spacing w:line="207" w:lineRule="exact" w:before="0"/>
        <w:ind w:left="0" w:right="3722" w:firstLine="0"/>
        <w:jc w:val="right"/>
        <w:rPr>
          <w:rFonts w:ascii="Arial" w:hAnsi="Arial"/>
          <w:b/>
          <w:i/>
          <w:sz w:val="18"/>
        </w:rPr>
      </w:pPr>
      <w:r>
        <w:rPr>
          <w:rFonts w:ascii="Arial" w:hAnsi="Arial"/>
          <w:b/>
          <w:sz w:val="18"/>
        </w:rPr>
        <w:t>Título</w:t>
      </w:r>
      <w:r>
        <w:rPr>
          <w:rFonts w:ascii="Arial" w:hAnsi="Arial"/>
          <w:b/>
          <w:i/>
          <w:sz w:val="18"/>
        </w:rPr>
        <w:t>:</w:t>
      </w:r>
      <w:r>
        <w:rPr>
          <w:rFonts w:ascii="Arial" w:hAnsi="Arial"/>
          <w:b/>
          <w:i/>
          <w:spacing w:val="-7"/>
          <w:sz w:val="18"/>
        </w:rPr>
        <w:t> </w:t>
      </w:r>
      <w:r>
        <w:rPr>
          <w:rFonts w:ascii="Arial" w:hAnsi="Arial"/>
          <w:b/>
          <w:i/>
          <w:sz w:val="18"/>
        </w:rPr>
        <w:t>Control</w:t>
      </w:r>
      <w:r>
        <w:rPr>
          <w:rFonts w:ascii="Arial" w:hAnsi="Arial"/>
          <w:b/>
          <w:i/>
          <w:spacing w:val="-6"/>
          <w:sz w:val="18"/>
        </w:rPr>
        <w:t> </w:t>
      </w:r>
      <w:r>
        <w:rPr>
          <w:rFonts w:ascii="Arial" w:hAnsi="Arial"/>
          <w:b/>
          <w:i/>
          <w:sz w:val="18"/>
        </w:rPr>
        <w:t>de</w:t>
      </w:r>
      <w:r>
        <w:rPr>
          <w:rFonts w:ascii="Arial" w:hAnsi="Arial"/>
          <w:b/>
          <w:i/>
          <w:spacing w:val="-5"/>
          <w:sz w:val="18"/>
        </w:rPr>
        <w:t> </w:t>
      </w:r>
      <w:r>
        <w:rPr>
          <w:rFonts w:ascii="Arial" w:hAnsi="Arial"/>
          <w:b/>
          <w:i/>
          <w:sz w:val="18"/>
        </w:rPr>
        <w:t>convencionalidad</w:t>
      </w:r>
      <w:r>
        <w:rPr>
          <w:rFonts w:ascii="Arial" w:hAnsi="Arial"/>
          <w:b/>
          <w:i/>
          <w:spacing w:val="-5"/>
          <w:sz w:val="18"/>
        </w:rPr>
        <w:t> </w:t>
      </w:r>
      <w:r>
        <w:rPr>
          <w:rFonts w:ascii="Arial" w:hAnsi="Arial"/>
          <w:b/>
          <w:i/>
          <w:sz w:val="18"/>
        </w:rPr>
        <w:t>y</w:t>
      </w:r>
      <w:r>
        <w:rPr>
          <w:rFonts w:ascii="Arial" w:hAnsi="Arial"/>
          <w:b/>
          <w:i/>
          <w:spacing w:val="-4"/>
          <w:sz w:val="18"/>
        </w:rPr>
        <w:t> </w:t>
      </w:r>
      <w:r>
        <w:rPr>
          <w:rFonts w:ascii="Arial" w:hAnsi="Arial"/>
          <w:b/>
          <w:i/>
          <w:spacing w:val="-2"/>
          <w:sz w:val="18"/>
        </w:rPr>
        <w:t>prescripción</w:t>
      </w:r>
    </w:p>
    <w:p>
      <w:pPr>
        <w:spacing w:line="207" w:lineRule="exact" w:before="0"/>
        <w:ind w:left="0" w:right="3718" w:firstLine="0"/>
        <w:jc w:val="right"/>
        <w:rPr>
          <w:rFonts w:ascii="Arial" w:hAnsi="Arial"/>
          <w:b/>
          <w:i/>
          <w:sz w:val="18"/>
        </w:rPr>
      </w:pPr>
      <w:r>
        <w:rPr>
          <w:rFonts w:ascii="Arial" w:hAnsi="Arial"/>
          <w:b/>
          <w:i/>
          <w:sz w:val="18"/>
        </w:rPr>
        <w:t>de</w:t>
      </w:r>
      <w:r>
        <w:rPr>
          <w:rFonts w:ascii="Arial" w:hAnsi="Arial"/>
          <w:b/>
          <w:i/>
          <w:spacing w:val="-2"/>
          <w:sz w:val="18"/>
        </w:rPr>
        <w:t> </w:t>
      </w:r>
      <w:r>
        <w:rPr>
          <w:rFonts w:ascii="Arial" w:hAnsi="Arial"/>
          <w:b/>
          <w:i/>
          <w:sz w:val="18"/>
        </w:rPr>
        <w:t>la</w:t>
      </w:r>
      <w:r>
        <w:rPr>
          <w:rFonts w:ascii="Arial" w:hAnsi="Arial"/>
          <w:b/>
          <w:i/>
          <w:spacing w:val="-2"/>
          <w:sz w:val="18"/>
        </w:rPr>
        <w:t> </w:t>
      </w:r>
      <w:r>
        <w:rPr>
          <w:rFonts w:ascii="Arial" w:hAnsi="Arial"/>
          <w:b/>
          <w:i/>
          <w:sz w:val="18"/>
        </w:rPr>
        <w:t>acción</w:t>
      </w:r>
      <w:r>
        <w:rPr>
          <w:rFonts w:ascii="Arial" w:hAnsi="Arial"/>
          <w:b/>
          <w:i/>
          <w:spacing w:val="-2"/>
          <w:sz w:val="18"/>
        </w:rPr>
        <w:t> </w:t>
      </w:r>
      <w:r>
        <w:rPr>
          <w:rFonts w:ascii="Arial" w:hAnsi="Arial"/>
          <w:b/>
          <w:i/>
          <w:spacing w:val="-4"/>
          <w:sz w:val="18"/>
        </w:rPr>
        <w:t>penal</w:t>
      </w:r>
    </w:p>
    <w:p>
      <w:pPr>
        <w:spacing w:before="4"/>
        <w:ind w:left="1878" w:right="3718" w:firstLine="672"/>
        <w:jc w:val="right"/>
        <w:rPr>
          <w:rFonts w:ascii="Arial" w:hAnsi="Arial"/>
          <w:b/>
          <w:sz w:val="18"/>
        </w:rPr>
      </w:pPr>
      <w:r>
        <w:rPr>
          <w:rFonts w:ascii="Arial" w:hAnsi="Arial"/>
          <w:b/>
          <w:sz w:val="18"/>
        </w:rPr>
        <w:t>Autor:</w:t>
      </w:r>
      <w:r>
        <w:rPr>
          <w:rFonts w:ascii="Arial" w:hAnsi="Arial"/>
          <w:b/>
          <w:spacing w:val="-8"/>
          <w:sz w:val="18"/>
        </w:rPr>
        <w:t> </w:t>
      </w:r>
      <w:r>
        <w:rPr>
          <w:rFonts w:ascii="Arial" w:hAnsi="Arial"/>
          <w:b/>
          <w:sz w:val="18"/>
        </w:rPr>
        <w:t>Fabián</w:t>
      </w:r>
      <w:r>
        <w:rPr>
          <w:rFonts w:ascii="Arial" w:hAnsi="Arial"/>
          <w:b/>
          <w:spacing w:val="-13"/>
          <w:sz w:val="18"/>
        </w:rPr>
        <w:t> </w:t>
      </w:r>
      <w:r>
        <w:rPr>
          <w:rFonts w:ascii="Arial" w:hAnsi="Arial"/>
          <w:b/>
          <w:sz w:val="18"/>
        </w:rPr>
        <w:t>Luis</w:t>
      </w:r>
      <w:r>
        <w:rPr>
          <w:rFonts w:ascii="Arial" w:hAnsi="Arial"/>
          <w:b/>
          <w:spacing w:val="-9"/>
          <w:sz w:val="18"/>
        </w:rPr>
        <w:t> </w:t>
      </w:r>
      <w:r>
        <w:rPr>
          <w:rFonts w:ascii="Arial" w:hAnsi="Arial"/>
          <w:b/>
          <w:sz w:val="18"/>
        </w:rPr>
        <w:t>Riquert Fecha</w:t>
      </w:r>
      <w:r>
        <w:rPr>
          <w:rFonts w:ascii="Arial" w:hAnsi="Arial"/>
          <w:b/>
          <w:spacing w:val="-2"/>
          <w:sz w:val="18"/>
        </w:rPr>
        <w:t> </w:t>
      </w:r>
      <w:r>
        <w:rPr>
          <w:rFonts w:ascii="Arial" w:hAnsi="Arial"/>
          <w:b/>
          <w:sz w:val="18"/>
        </w:rPr>
        <w:t>de</w:t>
      </w:r>
      <w:r>
        <w:rPr>
          <w:rFonts w:ascii="Arial" w:hAnsi="Arial"/>
          <w:b/>
          <w:spacing w:val="-6"/>
          <w:sz w:val="18"/>
        </w:rPr>
        <w:t> </w:t>
      </w:r>
      <w:r>
        <w:rPr>
          <w:rFonts w:ascii="Arial" w:hAnsi="Arial"/>
          <w:b/>
          <w:sz w:val="18"/>
        </w:rPr>
        <w:t>edición:</w:t>
      </w:r>
      <w:r>
        <w:rPr>
          <w:rFonts w:ascii="Arial" w:hAnsi="Arial"/>
          <w:b/>
          <w:spacing w:val="-3"/>
          <w:sz w:val="18"/>
        </w:rPr>
        <w:t> </w:t>
      </w:r>
      <w:r>
        <w:rPr>
          <w:rFonts w:ascii="Arial" w:hAnsi="Arial"/>
          <w:b/>
          <w:sz w:val="18"/>
        </w:rPr>
        <w:t>octubre</w:t>
      </w:r>
      <w:r>
        <w:rPr>
          <w:rFonts w:ascii="Arial" w:hAnsi="Arial"/>
          <w:b/>
          <w:spacing w:val="-6"/>
          <w:sz w:val="18"/>
        </w:rPr>
        <w:t> </w:t>
      </w:r>
      <w:r>
        <w:rPr>
          <w:rFonts w:ascii="Arial" w:hAnsi="Arial"/>
          <w:b/>
          <w:sz w:val="18"/>
        </w:rPr>
        <w:t>de</w:t>
      </w:r>
      <w:r>
        <w:rPr>
          <w:rFonts w:ascii="Arial" w:hAnsi="Arial"/>
          <w:b/>
          <w:spacing w:val="-6"/>
          <w:sz w:val="18"/>
        </w:rPr>
        <w:t> </w:t>
      </w:r>
      <w:r>
        <w:rPr>
          <w:rFonts w:ascii="Arial" w:hAnsi="Arial"/>
          <w:b/>
          <w:spacing w:val="-4"/>
          <w:sz w:val="18"/>
        </w:rPr>
        <w:t>2020</w:t>
      </w:r>
    </w:p>
    <w:p>
      <w:pPr>
        <w:spacing w:before="0"/>
        <w:ind w:left="2738" w:right="3714" w:firstLine="264"/>
        <w:jc w:val="right"/>
        <w:rPr>
          <w:rFonts w:ascii="Arial"/>
          <w:b/>
          <w:sz w:val="18"/>
        </w:rPr>
      </w:pPr>
      <w:r>
        <w:rPr>
          <w:rFonts w:ascii="Arial"/>
          <w:b/>
          <w:sz w:val="18"/>
        </w:rPr>
        <w:t>Editorial:</w:t>
      </w:r>
      <w:r>
        <w:rPr>
          <w:rFonts w:ascii="Arial"/>
          <w:b/>
          <w:spacing w:val="-13"/>
          <w:sz w:val="18"/>
        </w:rPr>
        <w:t> </w:t>
      </w:r>
      <w:r>
        <w:rPr>
          <w:rFonts w:ascii="Arial"/>
          <w:b/>
          <w:sz w:val="18"/>
        </w:rPr>
        <w:t>Hammurabi ISBN:</w:t>
      </w:r>
      <w:r>
        <w:rPr>
          <w:rFonts w:ascii="Arial"/>
          <w:b/>
          <w:spacing w:val="-9"/>
          <w:sz w:val="18"/>
        </w:rPr>
        <w:t> </w:t>
      </w:r>
      <w:r>
        <w:rPr>
          <w:rFonts w:ascii="Arial"/>
          <w:b/>
          <w:sz w:val="18"/>
        </w:rPr>
        <w:t>978-987-8405-24-</w:t>
      </w:r>
      <w:r>
        <w:rPr>
          <w:rFonts w:ascii="Arial"/>
          <w:b/>
          <w:spacing w:val="-10"/>
          <w:sz w:val="18"/>
        </w:rPr>
        <w:t>7</w:t>
      </w:r>
    </w:p>
    <w:p>
      <w:pPr>
        <w:spacing w:before="0"/>
        <w:ind w:left="2660" w:right="3716" w:firstLine="1162"/>
        <w:jc w:val="right"/>
        <w:rPr>
          <w:rFonts w:ascii="Arial" w:hAnsi="Arial"/>
          <w:b/>
          <w:sz w:val="18"/>
        </w:rPr>
      </w:pPr>
      <w:r>
        <w:rPr>
          <w:rFonts w:ascii="Arial" w:hAnsi="Arial"/>
          <w:b/>
          <w:sz w:val="18"/>
        </w:rPr>
        <w:t>Página:</w:t>
      </w:r>
      <w:r>
        <w:rPr>
          <w:rFonts w:ascii="Arial" w:hAnsi="Arial"/>
          <w:b/>
          <w:spacing w:val="-13"/>
          <w:sz w:val="18"/>
        </w:rPr>
        <w:t> </w:t>
      </w:r>
      <w:r>
        <w:rPr>
          <w:rFonts w:ascii="Arial" w:hAnsi="Arial"/>
          <w:b/>
          <w:sz w:val="18"/>
        </w:rPr>
        <w:t>264 Idioma:</w:t>
      </w:r>
      <w:r>
        <w:rPr>
          <w:rFonts w:ascii="Arial" w:hAnsi="Arial"/>
          <w:b/>
          <w:color w:val="000000"/>
          <w:sz w:val="18"/>
          <w:shd w:fill="F7F7F8" w:color="auto" w:val="clear"/>
        </w:rPr>
        <w:t> Español</w:t>
      </w:r>
      <w:r>
        <w:rPr>
          <w:rFonts w:ascii="Arial" w:hAnsi="Arial"/>
          <w:b/>
          <w:color w:val="000000"/>
          <w:sz w:val="18"/>
        </w:rPr>
        <w:t> </w:t>
      </w:r>
      <w:r>
        <w:rPr>
          <w:rFonts w:ascii="Arial" w:hAnsi="Arial"/>
          <w:b/>
          <w:color w:val="000000"/>
          <w:sz w:val="18"/>
          <w:shd w:fill="F7F7F8" w:color="auto" w:val="clear"/>
        </w:rPr>
        <w:t>Encuadernación:</w:t>
      </w:r>
      <w:r>
        <w:rPr>
          <w:rFonts w:ascii="Arial" w:hAnsi="Arial"/>
          <w:b/>
          <w:color w:val="000000"/>
          <w:spacing w:val="-10"/>
          <w:sz w:val="18"/>
          <w:shd w:fill="F7F7F8" w:color="auto" w:val="clear"/>
        </w:rPr>
        <w:t> </w:t>
      </w:r>
      <w:r>
        <w:rPr>
          <w:rFonts w:ascii="Arial" w:hAnsi="Arial"/>
          <w:b/>
          <w:color w:val="000000"/>
          <w:spacing w:val="-2"/>
          <w:sz w:val="18"/>
          <w:shd w:fill="F7F7F8" w:color="auto" w:val="clear"/>
        </w:rPr>
        <w:t>Rústica</w:t>
      </w:r>
    </w:p>
    <w:p>
      <w:pPr>
        <w:pStyle w:val="BodyText"/>
        <w:rPr>
          <w:rFonts w:ascii="Arial"/>
          <w:b/>
        </w:rPr>
      </w:pPr>
    </w:p>
    <w:p>
      <w:pPr>
        <w:pStyle w:val="BodyText"/>
        <w:rPr>
          <w:rFonts w:ascii="Arial"/>
          <w:b/>
        </w:rPr>
      </w:pPr>
    </w:p>
    <w:p>
      <w:pPr>
        <w:pStyle w:val="BodyText"/>
        <w:spacing w:before="1"/>
        <w:rPr>
          <w:rFonts w:ascii="Arial"/>
          <w:b/>
          <w:sz w:val="26"/>
        </w:rPr>
      </w:pPr>
    </w:p>
    <w:p>
      <w:pPr>
        <w:pStyle w:val="BodyText"/>
        <w:spacing w:line="360" w:lineRule="auto"/>
        <w:ind w:left="308" w:right="292" w:firstLine="753"/>
        <w:jc w:val="both"/>
      </w:pPr>
      <w:r>
        <w:rPr/>
        <w:t>Esta fuente brinda un desarrollo que integra y relaciona diversos tópicos en</w:t>
      </w:r>
      <w:r>
        <w:rPr>
          <w:spacing w:val="80"/>
        </w:rPr>
        <w:t> </w:t>
      </w:r>
      <w:r>
        <w:rPr/>
        <w:t>torno al control de convencionalidad y la prescripción de la acción penal</w:t>
      </w:r>
      <w:r>
        <w:rPr>
          <w:spacing w:val="26"/>
        </w:rPr>
        <w:t> </w:t>
      </w:r>
      <w:r>
        <w:rPr/>
        <w:t>pública, desde un enfoque sistémico y multidimensional, que se preocupa por la obligación estatal de adecuar sus leyes y prácticas a los estándares provenientes del Sistema Interamericano de Derechos Humanos, por el correspondiente impacto que ello siempre supone –y</w:t>
      </w:r>
      <w:r>
        <w:rPr>
          <w:spacing w:val="80"/>
        </w:rPr>
        <w:t> </w:t>
      </w:r>
      <w:r>
        <w:rPr/>
        <w:t>cómo es percibido en la esfera interna- y, específicamente, presta atención a los hechos delictivos que son cometidos por las fuerzas de seguridad en momentos de orden democrático. Sobre este complejo objeto de estudio, a lo largo de sus páginas</w:t>
      </w:r>
      <w:r>
        <w:rPr>
          <w:vertAlign w:val="superscript"/>
        </w:rPr>
        <w:t>1</w:t>
      </w:r>
      <w:r>
        <w:rPr>
          <w:vertAlign w:val="baseline"/>
        </w:rPr>
        <w:t>, el autor pone énfasis en explicitar sus opiniones personales e incluir un permanente y nutrido diálogo</w:t>
      </w:r>
      <w:r>
        <w:rPr>
          <w:spacing w:val="19"/>
          <w:vertAlign w:val="baseline"/>
        </w:rPr>
        <w:t> </w:t>
      </w:r>
      <w:r>
        <w:rPr>
          <w:vertAlign w:val="baseline"/>
        </w:rPr>
        <w:t>con</w:t>
      </w:r>
      <w:r>
        <w:rPr>
          <w:spacing w:val="14"/>
          <w:vertAlign w:val="baseline"/>
        </w:rPr>
        <w:t> </w:t>
      </w:r>
      <w:r>
        <w:rPr>
          <w:vertAlign w:val="baseline"/>
        </w:rPr>
        <w:t>la</w:t>
      </w:r>
      <w:r>
        <w:rPr>
          <w:spacing w:val="20"/>
          <w:vertAlign w:val="baseline"/>
        </w:rPr>
        <w:t> </w:t>
      </w:r>
      <w:r>
        <w:rPr>
          <w:vertAlign w:val="baseline"/>
        </w:rPr>
        <w:t>producción</w:t>
      </w:r>
      <w:r>
        <w:rPr>
          <w:spacing w:val="14"/>
          <w:vertAlign w:val="baseline"/>
        </w:rPr>
        <w:t> </w:t>
      </w:r>
      <w:r>
        <w:rPr>
          <w:vertAlign w:val="baseline"/>
        </w:rPr>
        <w:t>jurisprudencial</w:t>
      </w:r>
      <w:r>
        <w:rPr>
          <w:spacing w:val="21"/>
          <w:vertAlign w:val="baseline"/>
        </w:rPr>
        <w:t> </w:t>
      </w:r>
      <w:r>
        <w:rPr>
          <w:vertAlign w:val="baseline"/>
        </w:rPr>
        <w:t>–de</w:t>
      </w:r>
      <w:r>
        <w:rPr>
          <w:spacing w:val="15"/>
          <w:vertAlign w:val="baseline"/>
        </w:rPr>
        <w:t> </w:t>
      </w:r>
      <w:r>
        <w:rPr>
          <w:vertAlign w:val="baseline"/>
        </w:rPr>
        <w:t>variados</w:t>
      </w:r>
      <w:r>
        <w:rPr>
          <w:spacing w:val="17"/>
          <w:vertAlign w:val="baseline"/>
        </w:rPr>
        <w:t> </w:t>
      </w:r>
      <w:r>
        <w:rPr>
          <w:vertAlign w:val="baseline"/>
        </w:rPr>
        <w:t>niveles-</w:t>
      </w:r>
      <w:r>
        <w:rPr>
          <w:spacing w:val="21"/>
          <w:vertAlign w:val="baseline"/>
        </w:rPr>
        <w:t> </w:t>
      </w:r>
      <w:r>
        <w:rPr>
          <w:vertAlign w:val="baseline"/>
        </w:rPr>
        <w:t>y</w:t>
      </w:r>
      <w:r>
        <w:rPr>
          <w:spacing w:val="20"/>
          <w:vertAlign w:val="baseline"/>
        </w:rPr>
        <w:t> </w:t>
      </w:r>
      <w:r>
        <w:rPr>
          <w:vertAlign w:val="baseline"/>
        </w:rPr>
        <w:t>doctrinaria</w:t>
      </w:r>
      <w:r>
        <w:rPr>
          <w:spacing w:val="20"/>
          <w:vertAlign w:val="baseline"/>
        </w:rPr>
        <w:t> </w:t>
      </w:r>
      <w:r>
        <w:rPr>
          <w:vertAlign w:val="baseline"/>
        </w:rPr>
        <w:t>(foránea</w:t>
      </w:r>
      <w:r>
        <w:rPr>
          <w:spacing w:val="20"/>
          <w:vertAlign w:val="baseline"/>
        </w:rPr>
        <w:t> </w:t>
      </w:r>
      <w:r>
        <w:rPr>
          <w:spacing w:val="-10"/>
          <w:vertAlign w:val="baseline"/>
        </w:rPr>
        <w:t>y</w:t>
      </w:r>
    </w:p>
    <w:p>
      <w:pPr>
        <w:pStyle w:val="BodyText"/>
      </w:pPr>
    </w:p>
    <w:p>
      <w:pPr>
        <w:pStyle w:val="BodyText"/>
        <w:spacing w:before="8"/>
        <w:rPr>
          <w:sz w:val="18"/>
        </w:rPr>
      </w:pPr>
      <w:r>
        <w:rPr/>
        <w:pict>
          <v:rect style="position:absolute;margin-left:99.407997pt;margin-top:11.954388pt;width:144.050pt;height:.71997pt;mso-position-horizontal-relative:page;mso-position-vertical-relative:paragraph;z-index:-15728640;mso-wrap-distance-left:0;mso-wrap-distance-right:0" id="docshape3" filled="true" fillcolor="#000000" stroked="false">
            <v:fill type="solid"/>
            <w10:wrap type="topAndBottom"/>
          </v:rect>
        </w:pict>
      </w:r>
    </w:p>
    <w:p>
      <w:pPr>
        <w:spacing w:line="247" w:lineRule="auto" w:before="92"/>
        <w:ind w:left="308" w:right="254" w:firstLine="0"/>
        <w:jc w:val="left"/>
        <w:rPr>
          <w:rFonts w:ascii="Calibri" w:hAnsi="Calibri"/>
          <w:sz w:val="20"/>
        </w:rPr>
      </w:pPr>
      <w:r>
        <w:rPr>
          <w:position w:val="6"/>
          <w:sz w:val="12"/>
        </w:rPr>
        <w:t>1</w:t>
      </w:r>
      <w:r>
        <w:rPr>
          <w:spacing w:val="33"/>
          <w:position w:val="6"/>
          <w:sz w:val="12"/>
        </w:rPr>
        <w:t> </w:t>
      </w:r>
      <w:r>
        <w:rPr>
          <w:sz w:val="18"/>
        </w:rPr>
        <w:t>La obra está prologada por Eduardo Pablo Jiménez y Nicolás García Rivas. El índice se puede ver: </w:t>
      </w:r>
      <w:hyperlink r:id="rId7">
        <w:r>
          <w:rPr>
            <w:color w:val="0000FF"/>
            <w:sz w:val="18"/>
            <w:u w:val="single" w:color="0000FF"/>
          </w:rPr>
          <w:t>https://drive.google.com/file/d/1U3ZRXTGO67VZckJBv8BCtZqPRxfl5RoQ/view?usp=sharing</w:t>
        </w:r>
        <w:r>
          <w:rPr>
            <w:rFonts w:ascii="Calibri" w:hAnsi="Calibri"/>
            <w:sz w:val="20"/>
          </w:rPr>
          <w:t>.</w:t>
        </w:r>
      </w:hyperlink>
    </w:p>
    <w:p>
      <w:pPr>
        <w:pStyle w:val="BodyText"/>
        <w:rPr>
          <w:rFonts w:ascii="Calibri"/>
        </w:rPr>
      </w:pPr>
    </w:p>
    <w:p>
      <w:pPr>
        <w:pStyle w:val="BodyText"/>
        <w:rPr>
          <w:rFonts w:ascii="Calibri"/>
        </w:rPr>
      </w:pPr>
    </w:p>
    <w:p>
      <w:pPr>
        <w:pStyle w:val="BodyText"/>
        <w:spacing w:before="10"/>
        <w:rPr>
          <w:rFonts w:ascii="Calibri"/>
          <w:sz w:val="16"/>
        </w:rPr>
      </w:pPr>
    </w:p>
    <w:p>
      <w:pPr>
        <w:spacing w:before="102"/>
        <w:ind w:left="3222" w:right="0" w:firstLine="0"/>
        <w:jc w:val="left"/>
        <w:rPr>
          <w:rFonts w:ascii="Cambria" w:hAnsi="Cambria"/>
          <w:i/>
          <w:sz w:val="20"/>
        </w:rPr>
      </w:pPr>
      <w:r>
        <w:rPr>
          <w:rFonts w:ascii="Cambria" w:hAnsi="Cambria"/>
          <w:i/>
          <w:sz w:val="20"/>
        </w:rPr>
        <w:t>Año</w:t>
      </w:r>
      <w:r>
        <w:rPr>
          <w:rFonts w:ascii="Cambria" w:hAnsi="Cambria"/>
          <w:i/>
          <w:spacing w:val="-7"/>
          <w:sz w:val="20"/>
        </w:rPr>
        <w:t> </w:t>
      </w:r>
      <w:r>
        <w:rPr>
          <w:rFonts w:ascii="Cambria" w:hAnsi="Cambria"/>
          <w:i/>
          <w:sz w:val="20"/>
        </w:rPr>
        <w:t>5</w:t>
      </w:r>
      <w:r>
        <w:rPr>
          <w:rFonts w:ascii="Cambria" w:hAnsi="Cambria"/>
          <w:i/>
          <w:spacing w:val="-7"/>
          <w:sz w:val="20"/>
        </w:rPr>
        <w:t> </w:t>
      </w:r>
      <w:r>
        <w:rPr>
          <w:rFonts w:ascii="Cambria" w:hAnsi="Cambria"/>
          <w:i/>
          <w:sz w:val="20"/>
        </w:rPr>
        <w:t>-</w:t>
      </w:r>
      <w:r>
        <w:rPr>
          <w:rFonts w:ascii="Cambria" w:hAnsi="Cambria"/>
          <w:i/>
          <w:spacing w:val="-7"/>
          <w:sz w:val="20"/>
        </w:rPr>
        <w:t> </w:t>
      </w:r>
      <w:r>
        <w:rPr>
          <w:rFonts w:ascii="Cambria" w:hAnsi="Cambria"/>
          <w:i/>
          <w:sz w:val="20"/>
        </w:rPr>
        <w:t>Número</w:t>
      </w:r>
      <w:r>
        <w:rPr>
          <w:rFonts w:ascii="Cambria" w:hAnsi="Cambria"/>
          <w:i/>
          <w:spacing w:val="-7"/>
          <w:sz w:val="20"/>
        </w:rPr>
        <w:t> </w:t>
      </w:r>
      <w:r>
        <w:rPr>
          <w:rFonts w:ascii="Cambria" w:hAnsi="Cambria"/>
          <w:i/>
          <w:sz w:val="20"/>
        </w:rPr>
        <w:t>9</w:t>
      </w:r>
      <w:r>
        <w:rPr>
          <w:rFonts w:ascii="Cambria" w:hAnsi="Cambria"/>
          <w:i/>
          <w:spacing w:val="-5"/>
          <w:sz w:val="20"/>
        </w:rPr>
        <w:t> </w:t>
      </w:r>
      <w:r>
        <w:rPr>
          <w:rFonts w:ascii="Cambria" w:hAnsi="Cambria"/>
          <w:i/>
          <w:sz w:val="20"/>
        </w:rPr>
        <w:t>–</w:t>
      </w:r>
      <w:r>
        <w:rPr>
          <w:rFonts w:ascii="Cambria" w:hAnsi="Cambria"/>
          <w:i/>
          <w:spacing w:val="-5"/>
          <w:sz w:val="20"/>
        </w:rPr>
        <w:t> </w:t>
      </w:r>
      <w:r>
        <w:rPr>
          <w:rFonts w:ascii="Cambria" w:hAnsi="Cambria"/>
          <w:i/>
          <w:sz w:val="20"/>
        </w:rPr>
        <w:t>Enero-Junio</w:t>
      </w:r>
      <w:r>
        <w:rPr>
          <w:rFonts w:ascii="Cambria" w:hAnsi="Cambria"/>
          <w:i/>
          <w:spacing w:val="-7"/>
          <w:sz w:val="20"/>
        </w:rPr>
        <w:t> </w:t>
      </w:r>
      <w:r>
        <w:rPr>
          <w:rFonts w:ascii="Cambria" w:hAnsi="Cambria"/>
          <w:i/>
          <w:sz w:val="20"/>
        </w:rPr>
        <w:t>2023.</w:t>
      </w:r>
      <w:r>
        <w:rPr>
          <w:rFonts w:ascii="Cambria" w:hAnsi="Cambria"/>
          <w:i/>
          <w:spacing w:val="-3"/>
          <w:sz w:val="20"/>
        </w:rPr>
        <w:t> </w:t>
      </w:r>
      <w:r>
        <w:rPr>
          <w:rFonts w:ascii="Cambria" w:hAnsi="Cambria"/>
          <w:i/>
          <w:sz w:val="20"/>
        </w:rPr>
        <w:t>ISSN:</w:t>
      </w:r>
      <w:r>
        <w:rPr>
          <w:rFonts w:ascii="Cambria" w:hAnsi="Cambria"/>
          <w:i/>
          <w:spacing w:val="-4"/>
          <w:sz w:val="20"/>
        </w:rPr>
        <w:t> </w:t>
      </w:r>
      <w:r>
        <w:rPr>
          <w:rFonts w:ascii="Cambria" w:hAnsi="Cambria"/>
          <w:i/>
          <w:sz w:val="20"/>
        </w:rPr>
        <w:t>2525-</w:t>
      </w:r>
      <w:r>
        <w:rPr>
          <w:rFonts w:ascii="Cambria" w:hAnsi="Cambria"/>
          <w:i/>
          <w:spacing w:val="-4"/>
          <w:sz w:val="20"/>
        </w:rPr>
        <w:t>0620</w:t>
      </w:r>
    </w:p>
    <w:p>
      <w:pPr>
        <w:pStyle w:val="BodyText"/>
        <w:ind w:left="6820"/>
        <w:rPr>
          <w:rFonts w:ascii="Cambria"/>
        </w:rPr>
      </w:pPr>
      <w:r>
        <w:rPr>
          <w:rFonts w:ascii="Cambria"/>
        </w:rPr>
        <w:drawing>
          <wp:inline distT="0" distB="0" distL="0" distR="0">
            <wp:extent cx="766696" cy="252031"/>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766696" cy="252031"/>
                    </a:xfrm>
                    <a:prstGeom prst="rect">
                      <a:avLst/>
                    </a:prstGeom>
                  </pic:spPr>
                </pic:pic>
              </a:graphicData>
            </a:graphic>
          </wp:inline>
        </w:drawing>
      </w:r>
      <w:r>
        <w:rPr>
          <w:rFonts w:ascii="Cambria"/>
        </w:rPr>
      </w:r>
    </w:p>
    <w:p>
      <w:pPr>
        <w:spacing w:after="0"/>
        <w:rPr>
          <w:rFonts w:ascii="Cambria"/>
        </w:rPr>
        <w:sectPr>
          <w:headerReference w:type="default" r:id="rId5"/>
          <w:type w:val="continuous"/>
          <w:pgSz w:w="11910" w:h="16840"/>
          <w:pgMar w:header="756" w:footer="0" w:top="1320" w:bottom="280" w:left="1680" w:right="1680"/>
          <w:pgNumType w:start="1"/>
        </w:sectPr>
      </w:pPr>
    </w:p>
    <w:p>
      <w:pPr>
        <w:pStyle w:val="BodyText"/>
        <w:spacing w:line="360" w:lineRule="auto" w:before="91"/>
        <w:ind w:left="308" w:right="299"/>
        <w:jc w:val="both"/>
      </w:pPr>
      <w:r>
        <w:rPr/>
        <w:t>local), que</w:t>
      </w:r>
      <w:r>
        <w:rPr>
          <w:spacing w:val="-1"/>
        </w:rPr>
        <w:t> </w:t>
      </w:r>
      <w:r>
        <w:rPr/>
        <w:t>le</w:t>
      </w:r>
      <w:r>
        <w:rPr>
          <w:spacing w:val="-1"/>
        </w:rPr>
        <w:t> </w:t>
      </w:r>
      <w:r>
        <w:rPr/>
        <w:t>permite brindar respuestas</w:t>
      </w:r>
      <w:r>
        <w:rPr>
          <w:spacing w:val="-4"/>
        </w:rPr>
        <w:t> </w:t>
      </w:r>
      <w:r>
        <w:rPr/>
        <w:t>a</w:t>
      </w:r>
      <w:r>
        <w:rPr>
          <w:spacing w:val="-1"/>
        </w:rPr>
        <w:t> </w:t>
      </w:r>
      <w:r>
        <w:rPr/>
        <w:t>muchas</w:t>
      </w:r>
      <w:r>
        <w:rPr>
          <w:spacing w:val="-4"/>
        </w:rPr>
        <w:t> </w:t>
      </w:r>
      <w:r>
        <w:rPr/>
        <w:t>de</w:t>
      </w:r>
      <w:r>
        <w:rPr>
          <w:spacing w:val="-1"/>
        </w:rPr>
        <w:t> </w:t>
      </w:r>
      <w:r>
        <w:rPr/>
        <w:t>las</w:t>
      </w:r>
      <w:r>
        <w:rPr>
          <w:spacing w:val="-4"/>
        </w:rPr>
        <w:t> </w:t>
      </w:r>
      <w:r>
        <w:rPr/>
        <w:t>dificultades</w:t>
      </w:r>
      <w:r>
        <w:rPr>
          <w:spacing w:val="-1"/>
        </w:rPr>
        <w:t> </w:t>
      </w:r>
      <w:r>
        <w:rPr/>
        <w:t>e</w:t>
      </w:r>
      <w:r>
        <w:rPr>
          <w:spacing w:val="-1"/>
        </w:rPr>
        <w:t> </w:t>
      </w:r>
      <w:r>
        <w:rPr/>
        <w:t>interrogantes</w:t>
      </w:r>
      <w:r>
        <w:rPr>
          <w:spacing w:val="-4"/>
        </w:rPr>
        <w:t> </w:t>
      </w:r>
      <w:r>
        <w:rPr/>
        <w:t>que motivaron el planteo original y/o abre otras claves analíticas para la indagación futura.</w:t>
      </w:r>
    </w:p>
    <w:p>
      <w:pPr>
        <w:pStyle w:val="BodyText"/>
        <w:spacing w:line="360" w:lineRule="auto" w:before="159"/>
        <w:ind w:left="308" w:right="293" w:firstLine="705"/>
        <w:jc w:val="both"/>
      </w:pPr>
      <w:r>
        <w:rPr/>
        <w:t>Para ello, inicia describiendo los caminos que fueron forjando el actual Sistema Interamericano con notas sobre la adversa coyuntura histórico-política fundacional y los disímiles escenarios y realidades posteriores con marcados avances en la receptación</w:t>
      </w:r>
      <w:r>
        <w:rPr>
          <w:spacing w:val="80"/>
        </w:rPr>
        <w:t> </w:t>
      </w:r>
      <w:r>
        <w:rPr/>
        <w:t>de derechos plasmados en los principales instrumentos iushumanistas. Luego, se desciende al progresivo y tensional desarrollo del concepto y alcance del control de convencionalidad, tanto como competencia propia de</w:t>
      </w:r>
      <w:r>
        <w:rPr>
          <w:spacing w:val="-1"/>
        </w:rPr>
        <w:t> </w:t>
      </w:r>
      <w:r>
        <w:rPr/>
        <w:t>la Corte Interamericana (capítulo I) como aquel que se encarna en los mandatos que deben concretizar las autoridades nacionales en el ámbito interno (capítulo II).</w:t>
      </w:r>
    </w:p>
    <w:p>
      <w:pPr>
        <w:pStyle w:val="BodyText"/>
        <w:spacing w:line="360" w:lineRule="auto" w:before="165"/>
        <w:ind w:left="308" w:right="290" w:firstLine="705"/>
        <w:jc w:val="both"/>
      </w:pPr>
      <w:r>
        <w:rPr/>
        <w:t>Por un lado, identifica las dificultades y tensiones que se pueden presentar en la armonización entre las normas ascendentes y descendentes, como así también en las variantes que entran en juego en el marco de lo que llama “diálogo entre cortes”</w:t>
      </w:r>
      <w:r>
        <w:rPr>
          <w:spacing w:val="40"/>
        </w:rPr>
        <w:t> </w:t>
      </w:r>
      <w:r>
        <w:rPr/>
        <w:t>(cambios políticos en las relaciones internacionales de la región, retraimiento de los “tribunales de cierre”, falta de financiamiento, asimetrías respecto al grado de acatamiento de las sentencias en los Estados de gobierno federal, entre otras). Por otra parte, se ocupa de detallar los rasgos centrales de nuestro actual modelo de </w:t>
      </w:r>
      <w:r>
        <w:rPr>
          <w:rFonts w:ascii="Arial" w:hAnsi="Arial"/>
          <w:i/>
        </w:rPr>
        <w:t>control de convencionalidad y constitucionalidad </w:t>
      </w:r>
      <w:r>
        <w:rPr/>
        <w:t>(puntualiza diferencias entre ambos conceptos), para lo cual recurre a un ejercicio comparativo de las singularidades que exhiben los de otras latitudes, y postula la necesidad de una reformulación –reforma constitucional o legal mediante- del sistema actual (difuso) hacia uno centrado o mixto. Sobre el final del segundo capítulo, descolla un minucioso </w:t>
      </w:r>
      <w:r>
        <w:rPr>
          <w:rFonts w:ascii="Arial" w:hAnsi="Arial"/>
          <w:i/>
        </w:rPr>
        <w:t>racconto </w:t>
      </w:r>
      <w:r>
        <w:rPr/>
        <w:t>de la línea jurisprudencial de la Corte argentina (CSJN) seguida en su vinculación con el Tribunal Regional, que va desde los conocidos y señeros fallos previos a la reforma constitucional de 1994, “Ekmekdjian” (1992)</w:t>
      </w:r>
      <w:r>
        <w:rPr>
          <w:spacing w:val="-1"/>
        </w:rPr>
        <w:t> </w:t>
      </w:r>
      <w:r>
        <w:rPr/>
        <w:t>y</w:t>
      </w:r>
      <w:r>
        <w:rPr>
          <w:spacing w:val="-1"/>
        </w:rPr>
        <w:t> </w:t>
      </w:r>
      <w:r>
        <w:rPr/>
        <w:t>“Fibraca”</w:t>
      </w:r>
      <w:r>
        <w:rPr>
          <w:spacing w:val="-1"/>
        </w:rPr>
        <w:t> </w:t>
      </w:r>
      <w:r>
        <w:rPr/>
        <w:t>(1993), hasta</w:t>
      </w:r>
      <w:r>
        <w:rPr>
          <w:spacing w:val="-2"/>
        </w:rPr>
        <w:t> </w:t>
      </w:r>
      <w:r>
        <w:rPr/>
        <w:t>el</w:t>
      </w:r>
      <w:r>
        <w:rPr>
          <w:spacing w:val="-2"/>
        </w:rPr>
        <w:t> </w:t>
      </w:r>
      <w:r>
        <w:rPr/>
        <w:t>más</w:t>
      </w:r>
      <w:r>
        <w:rPr>
          <w:spacing w:val="-4"/>
        </w:rPr>
        <w:t> </w:t>
      </w:r>
      <w:r>
        <w:rPr/>
        <w:t>reciente, de</w:t>
      </w:r>
      <w:r>
        <w:rPr>
          <w:spacing w:val="-2"/>
        </w:rPr>
        <w:t> </w:t>
      </w:r>
      <w:r>
        <w:rPr/>
        <w:t>donde</w:t>
      </w:r>
      <w:r>
        <w:rPr>
          <w:spacing w:val="-2"/>
        </w:rPr>
        <w:t> </w:t>
      </w:r>
      <w:r>
        <w:rPr/>
        <w:t>intuye un</w:t>
      </w:r>
      <w:r>
        <w:rPr>
          <w:spacing w:val="-2"/>
        </w:rPr>
        <w:t> </w:t>
      </w:r>
      <w:r>
        <w:rPr/>
        <w:t>posible</w:t>
      </w:r>
      <w:r>
        <w:rPr>
          <w:spacing w:val="-1"/>
        </w:rPr>
        <w:t> </w:t>
      </w:r>
      <w:r>
        <w:rPr/>
        <w:t>“retraimiento hacia el orden interno”, dictado en el resonante y discutido caso “Fontevecchia”.</w:t>
      </w:r>
    </w:p>
    <w:p>
      <w:pPr>
        <w:pStyle w:val="BodyText"/>
        <w:spacing w:line="360" w:lineRule="auto" w:before="161"/>
        <w:ind w:left="308" w:right="294" w:firstLine="705"/>
        <w:jc w:val="both"/>
      </w:pPr>
      <w:r>
        <w:rPr/>
        <w:t>Ya en el capítulo III, Riquert realiza apreciaciones acerca de la relación entre el </w:t>
      </w:r>
      <w:r>
        <w:rPr>
          <w:rFonts w:ascii="Arial" w:hAnsi="Arial"/>
          <w:i/>
        </w:rPr>
        <w:t>derecho penal y el sistema constitucional</w:t>
      </w:r>
      <w:r>
        <w:rPr/>
        <w:t>, partiendo de la idea de un modelo de derecho penal que nos viene dado desde la CN y los instrumentos internacionales: el “programa penal de la Constitución”, desde su óptica, no se agota en las pautas o “reglas de juego” que fija la Carta Magna sino que se debe extender a todo el plexo normativo de los instrumentos</w:t>
      </w:r>
      <w:r>
        <w:rPr>
          <w:spacing w:val="-9"/>
        </w:rPr>
        <w:t> </w:t>
      </w:r>
      <w:r>
        <w:rPr/>
        <w:t>internacionales</w:t>
      </w:r>
      <w:r>
        <w:rPr>
          <w:spacing w:val="-6"/>
        </w:rPr>
        <w:t> </w:t>
      </w:r>
      <w:r>
        <w:rPr/>
        <w:t>sobre</w:t>
      </w:r>
      <w:r>
        <w:rPr>
          <w:spacing w:val="-3"/>
        </w:rPr>
        <w:t> </w:t>
      </w:r>
      <w:r>
        <w:rPr/>
        <w:t>derechos</w:t>
      </w:r>
      <w:r>
        <w:rPr>
          <w:spacing w:val="-6"/>
        </w:rPr>
        <w:t> </w:t>
      </w:r>
      <w:r>
        <w:rPr/>
        <w:t>humanos, tanto</w:t>
      </w:r>
      <w:r>
        <w:rPr>
          <w:spacing w:val="-1"/>
        </w:rPr>
        <w:t> </w:t>
      </w:r>
      <w:r>
        <w:rPr/>
        <w:t>con</w:t>
      </w:r>
      <w:r>
        <w:rPr>
          <w:spacing w:val="-7"/>
        </w:rPr>
        <w:t> </w:t>
      </w:r>
      <w:r>
        <w:rPr/>
        <w:t>jerarquía</w:t>
      </w:r>
      <w:r>
        <w:rPr>
          <w:spacing w:val="-7"/>
        </w:rPr>
        <w:t> </w:t>
      </w:r>
      <w:r>
        <w:rPr>
          <w:spacing w:val="-2"/>
        </w:rPr>
        <w:t>constitucional</w:t>
      </w:r>
    </w:p>
    <w:p>
      <w:pPr>
        <w:spacing w:after="0" w:line="360" w:lineRule="auto"/>
        <w:jc w:val="both"/>
        <w:sectPr>
          <w:headerReference w:type="default" r:id="rId9"/>
          <w:footerReference w:type="default" r:id="rId10"/>
          <w:pgSz w:w="11910" w:h="16840"/>
          <w:pgMar w:header="756" w:footer="1010" w:top="1320" w:bottom="1200" w:left="1680" w:right="1680"/>
        </w:sectPr>
      </w:pPr>
    </w:p>
    <w:p>
      <w:pPr>
        <w:pStyle w:val="BodyText"/>
        <w:spacing w:line="360" w:lineRule="auto" w:before="91"/>
        <w:ind w:left="308" w:right="293"/>
        <w:jc w:val="both"/>
      </w:pPr>
      <w:r>
        <w:rPr/>
        <w:t>y como mínimo supralegal. En especial, se detiene en los principios basilares de legalidad y prohibición de analogía, en tanto configurativos de presupuestos limitadores del </w:t>
      </w:r>
      <w:r>
        <w:rPr>
          <w:rFonts w:ascii="Arial" w:hAnsi="Arial"/>
          <w:i/>
        </w:rPr>
        <w:t>ius puniendi </w:t>
      </w:r>
      <w:r>
        <w:rPr/>
        <w:t>del Estado y con una incidencia mayúscula en la problematización que aborda en los desarrollos venideros.</w:t>
      </w:r>
    </w:p>
    <w:p>
      <w:pPr>
        <w:pStyle w:val="BodyText"/>
        <w:spacing w:line="360" w:lineRule="auto" w:before="161"/>
        <w:ind w:left="308" w:right="290" w:firstLine="705"/>
        <w:jc w:val="both"/>
      </w:pPr>
      <w:r>
        <w:rPr/>
        <w:t>Estos abordajes teóricos y el repaso de nociones conceptuales introductorias sobre la prescripción de la acción penal y su regulación (antecedentes y normativa local, fundamentos jurídicos-políticos, naturaleza jurídica y fundamentos) van preparando el terreno para el despliegue del punto</w:t>
      </w:r>
      <w:r>
        <w:rPr>
          <w:spacing w:val="-2"/>
        </w:rPr>
        <w:t> </w:t>
      </w:r>
      <w:r>
        <w:rPr/>
        <w:t>más</w:t>
      </w:r>
      <w:r>
        <w:rPr>
          <w:spacing w:val="-1"/>
        </w:rPr>
        <w:t> </w:t>
      </w:r>
      <w:r>
        <w:rPr/>
        <w:t>distinguido de la obra, en términos</w:t>
      </w:r>
      <w:r>
        <w:rPr>
          <w:spacing w:val="-1"/>
        </w:rPr>
        <w:t> </w:t>
      </w:r>
      <w:r>
        <w:rPr/>
        <w:t>propositivos y de originalidad, al ocuparte de lleno de uno de los principales obstáculos para romper</w:t>
      </w:r>
      <w:r>
        <w:rPr>
          <w:spacing w:val="80"/>
        </w:rPr>
        <w:t> </w:t>
      </w:r>
      <w:r>
        <w:rPr/>
        <w:t>el alto grado de impunidad que reina en el juzgamiento de las </w:t>
      </w:r>
      <w:r>
        <w:rPr>
          <w:rFonts w:ascii="Arial" w:hAnsi="Arial"/>
          <w:i/>
        </w:rPr>
        <w:t>violencias institucionales</w:t>
      </w:r>
      <w:r>
        <w:rPr/>
        <w:t>. Así, promediando el capítulo IV, trabaja sobre una casuística no infrecuente en nuestro país desde el recupero de la vida democrática en 1983, en la cual una víctima o sus familiares representantes (si aquella ha fallecido) acuden al orden interamericano (Corte o Comisión interamericana) ante la falta de investigación/castigo/sanción, al considerar que se ha provocado una laguna de impunidad, respecto de hechos cometidos por funcionarios públicos (fuerzas de seguridad), en ocasión de sus funciones, que atacan bienes jurídicos ubicados en la cúspide de la pirámide axiológica de nuestro Código Penal (se alude a la integridad sexual, vida o integridad física).</w:t>
      </w:r>
    </w:p>
    <w:p>
      <w:pPr>
        <w:pStyle w:val="BodyText"/>
        <w:spacing w:line="360" w:lineRule="auto" w:before="164"/>
        <w:ind w:left="308" w:right="288" w:firstLine="705"/>
        <w:jc w:val="both"/>
      </w:pPr>
      <w:r>
        <w:rPr/>
        <w:t>El control de convencionalidad y la prescripción de la</w:t>
      </w:r>
      <w:r>
        <w:rPr>
          <w:spacing w:val="-1"/>
        </w:rPr>
        <w:t> </w:t>
      </w:r>
      <w:r>
        <w:rPr/>
        <w:t>acción penal producen, en este contexto,</w:t>
      </w:r>
      <w:r>
        <w:rPr>
          <w:spacing w:val="40"/>
        </w:rPr>
        <w:t> </w:t>
      </w:r>
      <w:r>
        <w:rPr/>
        <w:t>una intersección a partir de los casos “Bulacio” y “Bueno Alves” de la</w:t>
      </w:r>
      <w:r>
        <w:rPr>
          <w:spacing w:val="40"/>
        </w:rPr>
        <w:t> </w:t>
      </w:r>
      <w:r>
        <w:rPr/>
        <w:t>Corte IDH, en donde se responsabilizó internacionalmente al Estado argentino, y se dispone que continúen las investigaciones penales, aunque en el ordenamiento interno</w:t>
      </w:r>
      <w:r>
        <w:rPr>
          <w:spacing w:val="40"/>
        </w:rPr>
        <w:t> </w:t>
      </w:r>
      <w:r>
        <w:rPr/>
        <w:t>se encuentren prescriptas. El análisis realizado le permite concluir en la necesidad de crear una nueva categoría de delitos: </w:t>
      </w:r>
      <w:r>
        <w:rPr>
          <w:rFonts w:ascii="Arial" w:hAnsi="Arial"/>
          <w:i/>
        </w:rPr>
        <w:t>“delitos cometidos por funcionarios de las fuerzas de seguridad”</w:t>
      </w:r>
      <w:r>
        <w:rPr/>
        <w:t>, que coloca en una posición intermedia entre los delitos de </w:t>
      </w:r>
      <w:r>
        <w:rPr>
          <w:rFonts w:ascii="Arial" w:hAnsi="Arial"/>
          <w:i/>
        </w:rPr>
        <w:t>lesa</w:t>
      </w:r>
      <w:r>
        <w:rPr>
          <w:rFonts w:ascii="Arial" w:hAnsi="Arial"/>
          <w:i/>
          <w:spacing w:val="80"/>
        </w:rPr>
        <w:t> </w:t>
      </w:r>
      <w:r>
        <w:rPr>
          <w:rFonts w:ascii="Arial" w:hAnsi="Arial"/>
          <w:i/>
        </w:rPr>
        <w:t>humanidad </w:t>
      </w:r>
      <w:r>
        <w:rPr/>
        <w:t>y los delitos comunes. Ante tales particularidades, propone que el órgano legislativo</w:t>
      </w:r>
      <w:r>
        <w:rPr>
          <w:spacing w:val="-1"/>
        </w:rPr>
        <w:t> </w:t>
      </w:r>
      <w:r>
        <w:rPr/>
        <w:t>asuma</w:t>
      </w:r>
      <w:r>
        <w:rPr>
          <w:spacing w:val="-6"/>
        </w:rPr>
        <w:t> </w:t>
      </w:r>
      <w:r>
        <w:rPr/>
        <w:t>y responda</w:t>
      </w:r>
      <w:r>
        <w:rPr>
          <w:spacing w:val="-1"/>
        </w:rPr>
        <w:t> </w:t>
      </w:r>
      <w:r>
        <w:rPr/>
        <w:t>ante</w:t>
      </w:r>
      <w:r>
        <w:rPr>
          <w:spacing w:val="-1"/>
        </w:rPr>
        <w:t> </w:t>
      </w:r>
      <w:r>
        <w:rPr/>
        <w:t>el</w:t>
      </w:r>
      <w:r>
        <w:rPr>
          <w:spacing w:val="-1"/>
        </w:rPr>
        <w:t> </w:t>
      </w:r>
      <w:r>
        <w:rPr/>
        <w:t>fenómeno</w:t>
      </w:r>
      <w:r>
        <w:rPr>
          <w:spacing w:val="-1"/>
        </w:rPr>
        <w:t> </w:t>
      </w:r>
      <w:r>
        <w:rPr/>
        <w:t>y</w:t>
      </w:r>
      <w:r>
        <w:rPr>
          <w:spacing w:val="-4"/>
        </w:rPr>
        <w:t> </w:t>
      </w:r>
      <w:r>
        <w:rPr/>
        <w:t>fije</w:t>
      </w:r>
      <w:r>
        <w:rPr>
          <w:spacing w:val="-1"/>
        </w:rPr>
        <w:t> </w:t>
      </w:r>
      <w:r>
        <w:rPr/>
        <w:t>una</w:t>
      </w:r>
      <w:r>
        <w:rPr>
          <w:spacing w:val="-1"/>
        </w:rPr>
        <w:t> </w:t>
      </w:r>
      <w:r>
        <w:rPr/>
        <w:t>nueva</w:t>
      </w:r>
      <w:r>
        <w:rPr>
          <w:spacing w:val="-1"/>
        </w:rPr>
        <w:t> </w:t>
      </w:r>
      <w:r>
        <w:rPr/>
        <w:t>causal para</w:t>
      </w:r>
      <w:r>
        <w:rPr>
          <w:spacing w:val="-1"/>
        </w:rPr>
        <w:t> </w:t>
      </w:r>
      <w:r>
        <w:rPr/>
        <w:t>suspender el curso de la prescripción penal</w:t>
      </w:r>
      <w:r>
        <w:rPr>
          <w:vertAlign w:val="superscript"/>
        </w:rPr>
        <w:t>2</w:t>
      </w:r>
      <w:r>
        <w:rPr>
          <w:vertAlign w:val="baseline"/>
        </w:rPr>
        <w:t>. En proyección, entiende que esta solución evitaría las condenas</w:t>
      </w:r>
      <w:r>
        <w:rPr>
          <w:spacing w:val="18"/>
          <w:vertAlign w:val="baseline"/>
        </w:rPr>
        <w:t> </w:t>
      </w:r>
      <w:r>
        <w:rPr>
          <w:vertAlign w:val="baseline"/>
        </w:rPr>
        <w:t>sobre</w:t>
      </w:r>
      <w:r>
        <w:rPr>
          <w:spacing w:val="23"/>
          <w:vertAlign w:val="baseline"/>
        </w:rPr>
        <w:t> </w:t>
      </w:r>
      <w:r>
        <w:rPr>
          <w:vertAlign w:val="baseline"/>
        </w:rPr>
        <w:t>este</w:t>
      </w:r>
      <w:r>
        <w:rPr>
          <w:spacing w:val="23"/>
          <w:vertAlign w:val="baseline"/>
        </w:rPr>
        <w:t> </w:t>
      </w:r>
      <w:r>
        <w:rPr>
          <w:vertAlign w:val="baseline"/>
        </w:rPr>
        <w:t>punto</w:t>
      </w:r>
      <w:r>
        <w:rPr>
          <w:spacing w:val="23"/>
          <w:vertAlign w:val="baseline"/>
        </w:rPr>
        <w:t> </w:t>
      </w:r>
      <w:r>
        <w:rPr>
          <w:vertAlign w:val="baseline"/>
        </w:rPr>
        <w:t>a</w:t>
      </w:r>
      <w:r>
        <w:rPr>
          <w:spacing w:val="24"/>
          <w:vertAlign w:val="baseline"/>
        </w:rPr>
        <w:t> </w:t>
      </w:r>
      <w:r>
        <w:rPr>
          <w:vertAlign w:val="baseline"/>
        </w:rPr>
        <w:t>la</w:t>
      </w:r>
      <w:r>
        <w:rPr>
          <w:spacing w:val="23"/>
          <w:vertAlign w:val="baseline"/>
        </w:rPr>
        <w:t> </w:t>
      </w:r>
      <w:r>
        <w:rPr>
          <w:vertAlign w:val="baseline"/>
        </w:rPr>
        <w:t>Argentina,</w:t>
      </w:r>
      <w:r>
        <w:rPr>
          <w:spacing w:val="26"/>
          <w:vertAlign w:val="baseline"/>
        </w:rPr>
        <w:t> </w:t>
      </w:r>
      <w:r>
        <w:rPr>
          <w:vertAlign w:val="baseline"/>
        </w:rPr>
        <w:t>y</w:t>
      </w:r>
      <w:r>
        <w:rPr>
          <w:spacing w:val="20"/>
          <w:vertAlign w:val="baseline"/>
        </w:rPr>
        <w:t> </w:t>
      </w:r>
      <w:r>
        <w:rPr>
          <w:vertAlign w:val="baseline"/>
        </w:rPr>
        <w:t>saltar</w:t>
      </w:r>
      <w:r>
        <w:rPr>
          <w:spacing w:val="25"/>
          <w:vertAlign w:val="baseline"/>
        </w:rPr>
        <w:t> </w:t>
      </w:r>
      <w:r>
        <w:rPr>
          <w:vertAlign w:val="baseline"/>
        </w:rPr>
        <w:t>desde</w:t>
      </w:r>
      <w:r>
        <w:rPr>
          <w:spacing w:val="24"/>
          <w:vertAlign w:val="baseline"/>
        </w:rPr>
        <w:t> </w:t>
      </w:r>
      <w:r>
        <w:rPr>
          <w:vertAlign w:val="baseline"/>
        </w:rPr>
        <w:t>el</w:t>
      </w:r>
      <w:r>
        <w:rPr>
          <w:spacing w:val="27"/>
          <w:vertAlign w:val="baseline"/>
        </w:rPr>
        <w:t> </w:t>
      </w:r>
      <w:r>
        <w:rPr>
          <w:vertAlign w:val="baseline"/>
        </w:rPr>
        <w:t>derecho</w:t>
      </w:r>
      <w:r>
        <w:rPr>
          <w:spacing w:val="24"/>
          <w:vertAlign w:val="baseline"/>
        </w:rPr>
        <w:t> </w:t>
      </w:r>
      <w:r>
        <w:rPr>
          <w:vertAlign w:val="baseline"/>
        </w:rPr>
        <w:t>internacional</w:t>
      </w:r>
      <w:r>
        <w:rPr>
          <w:spacing w:val="28"/>
          <w:vertAlign w:val="baseline"/>
        </w:rPr>
        <w:t> </w:t>
      </w:r>
      <w:r>
        <w:rPr>
          <w:spacing w:val="-5"/>
          <w:vertAlign w:val="baseline"/>
        </w:rPr>
        <w:t>sin</w:t>
      </w:r>
    </w:p>
    <w:p>
      <w:pPr>
        <w:pStyle w:val="BodyText"/>
        <w:spacing w:before="10"/>
        <w:rPr>
          <w:sz w:val="19"/>
        </w:rPr>
      </w:pPr>
      <w:r>
        <w:rPr/>
        <w:pict>
          <v:rect style="position:absolute;margin-left:99.407997pt;margin-top:12.665731pt;width:144.050pt;height:.72003pt;mso-position-horizontal-relative:page;mso-position-vertical-relative:paragraph;z-index:-15727616;mso-wrap-distance-left:0;mso-wrap-distance-right:0" id="docshape7" filled="true" fillcolor="#000000" stroked="false">
            <v:fill type="solid"/>
            <w10:wrap type="topAndBottom"/>
          </v:rect>
        </w:pict>
      </w:r>
    </w:p>
    <w:p>
      <w:pPr>
        <w:spacing w:line="242" w:lineRule="auto" w:before="91"/>
        <w:ind w:left="308" w:right="297" w:firstLine="0"/>
        <w:jc w:val="both"/>
        <w:rPr>
          <w:sz w:val="18"/>
        </w:rPr>
      </w:pPr>
      <w:r>
        <w:rPr>
          <w:position w:val="6"/>
          <w:sz w:val="12"/>
        </w:rPr>
        <w:t>2</w:t>
      </w:r>
      <w:r>
        <w:rPr>
          <w:spacing w:val="36"/>
          <w:position w:val="6"/>
          <w:sz w:val="12"/>
        </w:rPr>
        <w:t> </w:t>
      </w:r>
      <w:r>
        <w:rPr>
          <w:sz w:val="18"/>
        </w:rPr>
        <w:t>Modificación del Libro I, Título X del CP, art. 67, incorporación de un párrafo en los siguientes términos: “Cuando en la causa se interpusiere demanda ante la Comisión y/o la Corte IDH y los autores o partícipes fueran personal de las fuerzas de seguridad, nacionales o provinciales, del Estado en ocasión de sus funciones.</w:t>
      </w:r>
    </w:p>
    <w:p>
      <w:pPr>
        <w:spacing w:after="0" w:line="242" w:lineRule="auto"/>
        <w:jc w:val="both"/>
        <w:rPr>
          <w:sz w:val="18"/>
        </w:rPr>
        <w:sectPr>
          <w:pgSz w:w="11910" w:h="16840"/>
          <w:pgMar w:header="756" w:footer="1010" w:top="1320" w:bottom="1200" w:left="1680" w:right="1680"/>
        </w:sectPr>
      </w:pPr>
    </w:p>
    <w:p>
      <w:pPr>
        <w:pStyle w:val="BodyText"/>
        <w:spacing w:line="360" w:lineRule="auto" w:before="91"/>
        <w:ind w:left="308" w:right="289"/>
        <w:jc w:val="both"/>
      </w:pPr>
      <w:r>
        <w:rPr/>
        <w:t>que se encuentre específicamente legislado en el derecho interno (Código Penal) prescindiendo de aplicar en forma directa el principio transnacional del </w:t>
      </w:r>
      <w:r>
        <w:rPr>
          <w:rFonts w:ascii="Arial" w:hAnsi="Arial"/>
          <w:i/>
        </w:rPr>
        <w:t>ius cogens </w:t>
      </w:r>
      <w:r>
        <w:rPr/>
        <w:t>que puede producir rechazos por parte de la doctrina y la judicatura locales; en definitiva, contribuiría a generar “seguridad jurídica” a los operadores del sistema penal.</w:t>
      </w:r>
    </w:p>
    <w:p>
      <w:pPr>
        <w:pStyle w:val="BodyText"/>
        <w:spacing w:line="360" w:lineRule="auto" w:before="161"/>
        <w:ind w:left="308" w:right="290" w:firstLine="705"/>
        <w:jc w:val="both"/>
      </w:pPr>
      <w:r>
        <w:rPr/>
        <w:t>Por lo demás, el libro anexa jurisprudencia sistematizada de la Corte Suprema</w:t>
      </w:r>
      <w:r>
        <w:rPr>
          <w:spacing w:val="80"/>
        </w:rPr>
        <w:t> </w:t>
      </w:r>
      <w:r>
        <w:rPr/>
        <w:t>de Justicia de la Nación y de la Corte Interamericana de Derechos Humanos, agrupada sobre las diferentes temáticas y por organismo sentenciante, lo que ofrece una completa panorámica</w:t>
      </w:r>
      <w:r>
        <w:rPr>
          <w:spacing w:val="-2"/>
        </w:rPr>
        <w:t> </w:t>
      </w:r>
      <w:r>
        <w:rPr/>
        <w:t>de</w:t>
      </w:r>
      <w:r>
        <w:rPr>
          <w:spacing w:val="-6"/>
        </w:rPr>
        <w:t> </w:t>
      </w:r>
      <w:r>
        <w:rPr/>
        <w:t>las</w:t>
      </w:r>
      <w:r>
        <w:rPr>
          <w:spacing w:val="-4"/>
        </w:rPr>
        <w:t> </w:t>
      </w:r>
      <w:r>
        <w:rPr/>
        <w:t>múltiples</w:t>
      </w:r>
      <w:r>
        <w:rPr>
          <w:spacing w:val="-1"/>
        </w:rPr>
        <w:t> </w:t>
      </w:r>
      <w:r>
        <w:rPr/>
        <w:t>aristas</w:t>
      </w:r>
      <w:r>
        <w:rPr>
          <w:spacing w:val="-1"/>
        </w:rPr>
        <w:t> </w:t>
      </w:r>
      <w:r>
        <w:rPr/>
        <w:t>involucradas</w:t>
      </w:r>
      <w:r>
        <w:rPr>
          <w:spacing w:val="-1"/>
        </w:rPr>
        <w:t> </w:t>
      </w:r>
      <w:r>
        <w:rPr/>
        <w:t>y el</w:t>
      </w:r>
      <w:r>
        <w:rPr>
          <w:spacing w:val="-2"/>
        </w:rPr>
        <w:t> </w:t>
      </w:r>
      <w:r>
        <w:rPr/>
        <w:t>modo en que</w:t>
      </w:r>
      <w:r>
        <w:rPr>
          <w:spacing w:val="-2"/>
        </w:rPr>
        <w:t> </w:t>
      </w:r>
      <w:r>
        <w:rPr/>
        <w:t>fueron receptadas</w:t>
      </w:r>
      <w:r>
        <w:rPr>
          <w:spacing w:val="-1"/>
        </w:rPr>
        <w:t> </w:t>
      </w:r>
      <w:r>
        <w:rPr/>
        <w:t>por estos Tribunales. A la par, consolida una herramienta útil, para proyectar el estudio, la investigación teórica y el debate.</w:t>
      </w:r>
    </w:p>
    <w:sectPr>
      <w:pgSz w:w="11910" w:h="16840"/>
      <w:pgMar w:header="756" w:footer="1010" w:top="1320" w:bottom="120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ambria">
    <w:altName w:val="Cambria"/>
    <w:charset w:val="1"/>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66.459991pt;margin-top:780.437988pt;width:230.85pt;height:13.85pt;mso-position-horizontal-relative:page;mso-position-vertical-relative:page;z-index:-15785472" type="#_x0000_t202" id="docshape6" filled="false" stroked="false">
          <v:textbox inset="0,0,0,0">
            <w:txbxContent>
              <w:p>
                <w:pPr>
                  <w:spacing w:before="21"/>
                  <w:ind w:left="20" w:right="0" w:firstLine="0"/>
                  <w:jc w:val="left"/>
                  <w:rPr>
                    <w:rFonts w:ascii="Cambria" w:hAnsi="Cambria"/>
                    <w:i/>
                    <w:sz w:val="20"/>
                  </w:rPr>
                </w:pPr>
                <w:r>
                  <w:rPr>
                    <w:rFonts w:ascii="Cambria" w:hAnsi="Cambria"/>
                    <w:i/>
                    <w:sz w:val="20"/>
                  </w:rPr>
                  <w:t>Año</w:t>
                </w:r>
                <w:r>
                  <w:rPr>
                    <w:rFonts w:ascii="Cambria" w:hAnsi="Cambria"/>
                    <w:i/>
                    <w:spacing w:val="-7"/>
                    <w:sz w:val="20"/>
                  </w:rPr>
                  <w:t> </w:t>
                </w:r>
                <w:r>
                  <w:rPr>
                    <w:rFonts w:ascii="Cambria" w:hAnsi="Cambria"/>
                    <w:i/>
                    <w:sz w:val="20"/>
                  </w:rPr>
                  <w:t>5</w:t>
                </w:r>
                <w:r>
                  <w:rPr>
                    <w:rFonts w:ascii="Cambria" w:hAnsi="Cambria"/>
                    <w:i/>
                    <w:spacing w:val="-5"/>
                    <w:sz w:val="20"/>
                  </w:rPr>
                  <w:t> </w:t>
                </w:r>
                <w:r>
                  <w:rPr>
                    <w:rFonts w:ascii="Cambria" w:hAnsi="Cambria"/>
                    <w:i/>
                    <w:sz w:val="20"/>
                  </w:rPr>
                  <w:t>-</w:t>
                </w:r>
                <w:r>
                  <w:rPr>
                    <w:rFonts w:ascii="Cambria" w:hAnsi="Cambria"/>
                    <w:i/>
                    <w:spacing w:val="-7"/>
                    <w:sz w:val="20"/>
                  </w:rPr>
                  <w:t> </w:t>
                </w:r>
                <w:r>
                  <w:rPr>
                    <w:rFonts w:ascii="Cambria" w:hAnsi="Cambria"/>
                    <w:i/>
                    <w:sz w:val="20"/>
                  </w:rPr>
                  <w:t>Número</w:t>
                </w:r>
                <w:r>
                  <w:rPr>
                    <w:rFonts w:ascii="Cambria" w:hAnsi="Cambria"/>
                    <w:i/>
                    <w:spacing w:val="-6"/>
                    <w:sz w:val="20"/>
                  </w:rPr>
                  <w:t> </w:t>
                </w:r>
                <w:r>
                  <w:rPr>
                    <w:rFonts w:ascii="Cambria" w:hAnsi="Cambria"/>
                    <w:i/>
                    <w:sz w:val="20"/>
                  </w:rPr>
                  <w:t>9</w:t>
                </w:r>
                <w:r>
                  <w:rPr>
                    <w:rFonts w:ascii="Cambria" w:hAnsi="Cambria"/>
                    <w:i/>
                    <w:spacing w:val="-6"/>
                    <w:sz w:val="20"/>
                  </w:rPr>
                  <w:t> </w:t>
                </w:r>
                <w:r>
                  <w:rPr>
                    <w:rFonts w:ascii="Cambria" w:hAnsi="Cambria"/>
                    <w:i/>
                    <w:sz w:val="20"/>
                  </w:rPr>
                  <w:t>–</w:t>
                </w:r>
                <w:r>
                  <w:rPr>
                    <w:rFonts w:ascii="Cambria" w:hAnsi="Cambria"/>
                    <w:i/>
                    <w:spacing w:val="-5"/>
                    <w:sz w:val="20"/>
                  </w:rPr>
                  <w:t> </w:t>
                </w:r>
                <w:r>
                  <w:rPr>
                    <w:rFonts w:ascii="Cambria" w:hAnsi="Cambria"/>
                    <w:i/>
                    <w:sz w:val="20"/>
                  </w:rPr>
                  <w:t>Enero-Junio</w:t>
                </w:r>
                <w:r>
                  <w:rPr>
                    <w:rFonts w:ascii="Cambria" w:hAnsi="Cambria"/>
                    <w:i/>
                    <w:spacing w:val="-6"/>
                    <w:sz w:val="20"/>
                  </w:rPr>
                  <w:t> </w:t>
                </w:r>
                <w:r>
                  <w:rPr>
                    <w:rFonts w:ascii="Cambria" w:hAnsi="Cambria"/>
                    <w:i/>
                    <w:sz w:val="20"/>
                  </w:rPr>
                  <w:t>2023.</w:t>
                </w:r>
                <w:r>
                  <w:rPr>
                    <w:rFonts w:ascii="Cambria" w:hAnsi="Cambria"/>
                    <w:i/>
                    <w:spacing w:val="-6"/>
                    <w:sz w:val="20"/>
                  </w:rPr>
                  <w:t> </w:t>
                </w:r>
                <w:r>
                  <w:rPr>
                    <w:rFonts w:ascii="Cambria" w:hAnsi="Cambria"/>
                    <w:i/>
                    <w:sz w:val="20"/>
                  </w:rPr>
                  <w:t>ISSN: 2525-</w:t>
                </w:r>
                <w:r>
                  <w:rPr>
                    <w:rFonts w:ascii="Cambria" w:hAnsi="Cambria"/>
                    <w:i/>
                    <w:spacing w:val="-4"/>
                    <w:sz w:val="20"/>
                  </w:rPr>
                  <w:t>0620</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97.968002pt;margin-top:49.939983pt;width:399.74pt;height:.72pt;mso-position-horizontal-relative:page;mso-position-vertical-relative:page;z-index:-15787520" id="docshape1" filled="true" fillcolor="#000000" stroked="false">
          <v:fill type="solid"/>
          <w10:wrap type="none"/>
        </v:rect>
      </w:pict>
    </w:r>
    <w:r>
      <w:rPr/>
      <w:pict>
        <v:shapetype id="_x0000_t202" o:spt="202" coordsize="21600,21600" path="m,l,21600r21600,l21600,xe">
          <v:stroke joinstyle="miter"/>
          <v:path gradientshapeok="t" o:connecttype="rect"/>
        </v:shapetype>
        <v:shape style="position:absolute;margin-left:369.220001pt;margin-top:36.819984pt;width:123.55pt;height:13.05pt;mso-position-horizontal-relative:page;mso-position-vertical-relative:page;z-index:-15787008" type="#_x0000_t202" id="docshape2" filled="false" stroked="false">
          <v:textbox inset="0,0,0,0">
            <w:txbxContent>
              <w:p>
                <w:pPr>
                  <w:spacing w:line="245" w:lineRule="exact" w:before="0"/>
                  <w:ind w:left="20" w:right="0" w:firstLine="0"/>
                  <w:jc w:val="left"/>
                  <w:rPr>
                    <w:rFonts w:ascii="Calibri" w:hAnsi="Calibri"/>
                    <w:sz w:val="22"/>
                  </w:rPr>
                </w:pPr>
                <w:r>
                  <w:rPr>
                    <w:rFonts w:ascii="Calibri" w:hAnsi="Calibri"/>
                    <w:sz w:val="22"/>
                  </w:rPr>
                  <w:t>Revista</w:t>
                </w:r>
                <w:r>
                  <w:rPr>
                    <w:rFonts w:ascii="Calibri" w:hAnsi="Calibri"/>
                    <w:spacing w:val="-5"/>
                    <w:sz w:val="22"/>
                  </w:rPr>
                  <w:t> </w:t>
                </w:r>
                <w:r>
                  <w:rPr>
                    <w:rFonts w:ascii="Calibri" w:hAnsi="Calibri"/>
                    <w:sz w:val="22"/>
                  </w:rPr>
                  <w:t>Nueva</w:t>
                </w:r>
                <w:r>
                  <w:rPr>
                    <w:rFonts w:ascii="Calibri" w:hAnsi="Calibri"/>
                    <w:spacing w:val="-3"/>
                    <w:sz w:val="22"/>
                  </w:rPr>
                  <w:t> </w:t>
                </w:r>
                <w:r>
                  <w:rPr>
                    <w:rFonts w:ascii="Calibri" w:hAnsi="Calibri"/>
                    <w:sz w:val="22"/>
                  </w:rPr>
                  <w:t>Crítica</w:t>
                </w:r>
                <w:r>
                  <w:rPr>
                    <w:rFonts w:ascii="Calibri" w:hAnsi="Calibri"/>
                    <w:spacing w:val="-2"/>
                    <w:sz w:val="22"/>
                  </w:rPr>
                  <w:t> </w:t>
                </w:r>
                <w:r>
                  <w:rPr>
                    <w:rFonts w:ascii="Calibri" w:hAnsi="Calibri"/>
                    <w:spacing w:val="-4"/>
                    <w:sz w:val="22"/>
                  </w:rPr>
                  <w:t>Penal</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rect style="position:absolute;margin-left:97.968002pt;margin-top:49.939983pt;width:399.74pt;height:.72pt;mso-position-horizontal-relative:page;mso-position-vertical-relative:page;z-index:-15786496" id="docshape4" filled="true" fillcolor="#000000" stroked="false">
          <v:fill type="solid"/>
          <w10:wrap type="none"/>
        </v:rect>
      </w:pict>
    </w:r>
    <w:r>
      <w:rPr/>
      <w:pict>
        <v:shape style="position:absolute;margin-left:374.019989pt;margin-top:36.819984pt;width:123.3pt;height:13.05pt;mso-position-horizontal-relative:page;mso-position-vertical-relative:page;z-index:-15785984" type="#_x0000_t202" id="docshape5" filled="false" stroked="false">
          <v:textbox inset="0,0,0,0">
            <w:txbxContent>
              <w:p>
                <w:pPr>
                  <w:spacing w:line="245" w:lineRule="exact" w:before="0"/>
                  <w:ind w:left="20" w:right="0" w:firstLine="0"/>
                  <w:jc w:val="left"/>
                  <w:rPr>
                    <w:rFonts w:ascii="Calibri"/>
                    <w:sz w:val="22"/>
                  </w:rPr>
                </w:pPr>
                <w:r>
                  <w:rPr>
                    <w:rFonts w:ascii="Calibri"/>
                    <w:sz w:val="22"/>
                  </w:rPr>
                  <w:t>Revista</w:t>
                </w:r>
                <w:r>
                  <w:rPr>
                    <w:rFonts w:ascii="Calibri"/>
                    <w:spacing w:val="-4"/>
                    <w:sz w:val="22"/>
                  </w:rPr>
                  <w:t> </w:t>
                </w:r>
                <w:r>
                  <w:rPr>
                    <w:rFonts w:ascii="Calibri"/>
                    <w:sz w:val="22"/>
                  </w:rPr>
                  <w:t>Nueva</w:t>
                </w:r>
                <w:r>
                  <w:rPr>
                    <w:rFonts w:ascii="Calibri"/>
                    <w:spacing w:val="-7"/>
                    <w:sz w:val="22"/>
                  </w:rPr>
                  <w:t> </w:t>
                </w:r>
                <w:r>
                  <w:rPr>
                    <w:rFonts w:ascii="Calibri"/>
                    <w:sz w:val="22"/>
                  </w:rPr>
                  <w:t>Critica</w:t>
                </w:r>
                <w:r>
                  <w:rPr>
                    <w:rFonts w:ascii="Calibri"/>
                    <w:spacing w:val="-3"/>
                    <w:sz w:val="22"/>
                  </w:rPr>
                  <w:t> </w:t>
                </w:r>
                <w:r>
                  <w:rPr>
                    <w:rFonts w:ascii="Calibri"/>
                    <w:spacing w:val="-4"/>
                    <w:sz w:val="22"/>
                  </w:rPr>
                  <w:t>Penal</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ind w:left="473" w:right="467"/>
      <w:jc w:val="center"/>
      <w:outlineLvl w:val="1"/>
    </w:pPr>
    <w:rPr>
      <w:rFonts w:ascii="Arial" w:hAnsi="Arial" w:eastAsia="Arial" w:cs="Arial"/>
      <w:b/>
      <w:bCs/>
      <w:i/>
      <w:iCs/>
      <w:sz w:val="20"/>
      <w:szCs w:val="20"/>
      <w:lang w:val="es-ES" w:eastAsia="en-US" w:bidi="ar-SA"/>
    </w:rPr>
  </w:style>
  <w:style w:styleId="Title" w:type="paragraph">
    <w:name w:val="Title"/>
    <w:basedOn w:val="Normal"/>
    <w:uiPriority w:val="1"/>
    <w:qFormat/>
    <w:pPr>
      <w:spacing w:before="82"/>
      <w:ind w:left="473" w:right="473"/>
      <w:jc w:val="center"/>
    </w:pPr>
    <w:rPr>
      <w:rFonts w:ascii="Arial" w:hAnsi="Arial" w:eastAsia="Arial" w:cs="Arial"/>
      <w:b/>
      <w:bCs/>
      <w:sz w:val="24"/>
      <w:szCs w:val="24"/>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jpeg"/><Relationship Id="rId7" Type="http://schemas.openxmlformats.org/officeDocument/2006/relationships/hyperlink" Target="https://drive.google.com/file/d/1U3ZRXTGO67VZckJBv8BCtZqPRxfl5RoQ/view?usp=sharing" TargetMode="External"/><Relationship Id="rId8" Type="http://schemas.openxmlformats.org/officeDocument/2006/relationships/image" Target="media/image2.png"/><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JAVIER DI IORIO;José María Marchetti</dc:creator>
  <dc:title>Presentación y comentario a “Control de convencionalidad y prescripción de la acción penal. Impacto del sistema interamericano de derechos humanos en materia de prescripción penal de los miembros de las fuerzas de seguridad” de Fabián Luis Riquert</dc:title>
  <dcterms:created xsi:type="dcterms:W3CDTF">2023-06-30T14:16:08Z</dcterms:created>
  <dcterms:modified xsi:type="dcterms:W3CDTF">2023-06-30T14:16:08Z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2023-06-26T00:00:00Z</vt:filetime>
  </property>
  <property fmtid="{D5CDD505-2E9C-101B-9397-08002B2CF9AE}" pid="3" name="Creator">
    <vt:lpwstr>Microsoft® Word 2016</vt:lpwstr>
  </property>
  <property fmtid="{D5CDD505-2E9C-101B-9397-08002B2CF9AE}" pid="4" name="LastSaved">
    <vt:filetime>2023-06-30T00:00:00Z</vt:filetime>
  </property>
  <property fmtid="{D5CDD505-2E9C-101B-9397-08002B2CF9AE}" pid="5" name="Producer">
    <vt:lpwstr>www.ilovepdf.com</vt:lpwstr>
  </property>
</Properties>
</file>