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5E" w:rsidRPr="00414BCD" w:rsidRDefault="00285668" w:rsidP="00414BCD">
      <w:pPr>
        <w:pStyle w:val="Sinespaciado"/>
        <w:jc w:val="center"/>
        <w:rPr>
          <w:rFonts w:ascii="Arial" w:hAnsi="Arial" w:cs="Arial"/>
          <w:b/>
        </w:rPr>
      </w:pPr>
      <w:r w:rsidRPr="00414BCD">
        <w:rPr>
          <w:rFonts w:ascii="Arial" w:hAnsi="Arial" w:cs="Arial"/>
          <w:b/>
        </w:rPr>
        <w:t>Presentación</w:t>
      </w:r>
      <w:r w:rsidR="00872AF5" w:rsidRPr="00414BCD">
        <w:rPr>
          <w:rFonts w:ascii="Arial" w:hAnsi="Arial" w:cs="Arial"/>
          <w:b/>
        </w:rPr>
        <w:t xml:space="preserve"> y comentario a ¨</w:t>
      </w:r>
      <w:r w:rsidR="00AA505E" w:rsidRPr="00414BCD">
        <w:rPr>
          <w:rFonts w:ascii="Arial" w:hAnsi="Arial" w:cs="Arial"/>
          <w:b/>
        </w:rPr>
        <w:t>El sistema penal bonaerense III</w:t>
      </w:r>
      <w:r w:rsidRPr="00414BCD">
        <w:rPr>
          <w:rFonts w:ascii="Arial" w:hAnsi="Arial" w:cs="Arial"/>
          <w:b/>
        </w:rPr>
        <w:t xml:space="preserve">, coordinado por Ricardo S. </w:t>
      </w:r>
      <w:proofErr w:type="spellStart"/>
      <w:r w:rsidRPr="00414BCD">
        <w:rPr>
          <w:rFonts w:ascii="Arial" w:hAnsi="Arial" w:cs="Arial"/>
          <w:b/>
        </w:rPr>
        <w:t>Favarotto</w:t>
      </w:r>
      <w:proofErr w:type="spellEnd"/>
      <w:r w:rsidRPr="00414BCD">
        <w:rPr>
          <w:rFonts w:ascii="Arial" w:hAnsi="Arial" w:cs="Arial"/>
          <w:b/>
        </w:rPr>
        <w:t xml:space="preserve"> (</w:t>
      </w:r>
      <w:r w:rsidR="00AA505E" w:rsidRPr="00414BCD">
        <w:rPr>
          <w:rFonts w:ascii="Arial" w:hAnsi="Arial" w:cs="Arial"/>
          <w:b/>
        </w:rPr>
        <w:t>Editores del Sur</w:t>
      </w:r>
      <w:proofErr w:type="gramStart"/>
      <w:r w:rsidRPr="00414BCD">
        <w:rPr>
          <w:rFonts w:ascii="Arial" w:hAnsi="Arial" w:cs="Arial"/>
          <w:b/>
        </w:rPr>
        <w:t>)</w:t>
      </w:r>
      <w:r w:rsidR="00414BCD">
        <w:rPr>
          <w:rFonts w:ascii="Arial" w:hAnsi="Arial" w:cs="Arial"/>
          <w:b/>
        </w:rPr>
        <w:t>¨</w:t>
      </w:r>
      <w:proofErr w:type="gramEnd"/>
    </w:p>
    <w:p w:rsidR="0081715A" w:rsidRPr="00A54A46" w:rsidRDefault="0081715A" w:rsidP="00AE0E68">
      <w:pPr>
        <w:spacing w:after="0" w:line="360" w:lineRule="auto"/>
        <w:jc w:val="center"/>
        <w:rPr>
          <w:rFonts w:ascii="Arial" w:hAnsi="Arial" w:cs="Arial"/>
          <w:sz w:val="21"/>
          <w:szCs w:val="21"/>
        </w:rPr>
      </w:pPr>
    </w:p>
    <w:p w:rsidR="00B34300" w:rsidRPr="004B1F6B" w:rsidRDefault="00B34300" w:rsidP="00AE0E68">
      <w:pPr>
        <w:spacing w:after="0" w:line="360" w:lineRule="auto"/>
        <w:jc w:val="center"/>
        <w:rPr>
          <w:i/>
        </w:rPr>
      </w:pPr>
      <w:r w:rsidRPr="004B1F6B">
        <w:rPr>
          <w:rFonts w:ascii="Arial" w:hAnsi="Arial" w:cs="Arial"/>
          <w:i/>
          <w:sz w:val="21"/>
          <w:szCs w:val="21"/>
        </w:rPr>
        <w:t xml:space="preserve">Ricardo S. </w:t>
      </w:r>
      <w:proofErr w:type="spellStart"/>
      <w:r w:rsidRPr="004B1F6B">
        <w:rPr>
          <w:rFonts w:ascii="Arial" w:hAnsi="Arial" w:cs="Arial"/>
          <w:i/>
          <w:sz w:val="21"/>
          <w:szCs w:val="21"/>
        </w:rPr>
        <w:t>Favarotto</w:t>
      </w:r>
      <w:proofErr w:type="spellEnd"/>
      <w:r w:rsidRPr="004B1F6B">
        <w:rPr>
          <w:i/>
          <w:noProof/>
          <w:sz w:val="21"/>
          <w:szCs w:val="21"/>
          <w:lang w:val="es-ES" w:eastAsia="es-ES"/>
        </w:rPr>
        <w:t xml:space="preserve"> </w:t>
      </w:r>
      <w:r w:rsidR="004B1F6B">
        <w:rPr>
          <w:rStyle w:val="Refdenotaalpie"/>
          <w:i/>
        </w:rPr>
        <w:footnoteReference w:id="1"/>
      </w:r>
    </w:p>
    <w:p w:rsidR="0081715A" w:rsidRPr="00A54A46" w:rsidRDefault="00B34300" w:rsidP="00AE0E68">
      <w:pPr>
        <w:spacing w:after="0" w:line="360" w:lineRule="auto"/>
        <w:jc w:val="center"/>
        <w:rPr>
          <w:rFonts w:ascii="Arial" w:hAnsi="Arial" w:cs="Arial"/>
          <w:sz w:val="21"/>
          <w:szCs w:val="21"/>
        </w:rPr>
      </w:pPr>
      <w:r w:rsidRPr="00A54A46">
        <w:rPr>
          <w:rFonts w:ascii="Arial" w:hAnsi="Arial" w:cs="Arial"/>
          <w:sz w:val="21"/>
          <w:szCs w:val="21"/>
        </w:rPr>
        <w:t>(Universidad Nacional de Mar del Plata, Argentina)</w:t>
      </w:r>
    </w:p>
    <w:p w:rsidR="0081715A" w:rsidRDefault="0081715A" w:rsidP="00AE0E68">
      <w:pPr>
        <w:spacing w:after="0" w:line="360" w:lineRule="auto"/>
        <w:jc w:val="center"/>
        <w:rPr>
          <w:rFonts w:ascii="Arial" w:hAnsi="Arial" w:cs="Arial"/>
          <w:i/>
          <w:sz w:val="21"/>
          <w:szCs w:val="21"/>
        </w:rPr>
      </w:pPr>
    </w:p>
    <w:p w:rsidR="00AE0E68" w:rsidRPr="00B34300" w:rsidRDefault="00F4287C" w:rsidP="00AE0E68">
      <w:pPr>
        <w:spacing w:after="0" w:line="360" w:lineRule="auto"/>
        <w:jc w:val="center"/>
        <w:rPr>
          <w:rFonts w:ascii="Arial" w:hAnsi="Arial" w:cs="Arial"/>
          <w:i/>
          <w:sz w:val="21"/>
          <w:szCs w:val="21"/>
        </w:rPr>
      </w:pPr>
      <w:r w:rsidRPr="00B34300">
        <w:rPr>
          <w:rFonts w:ascii="Arial" w:hAnsi="Arial" w:cs="Arial"/>
          <w:i/>
          <w:noProof/>
          <w:sz w:val="21"/>
          <w:szCs w:val="21"/>
          <w:lang w:eastAsia="es-AR"/>
        </w:rPr>
        <w:drawing>
          <wp:anchor distT="0" distB="0" distL="114300" distR="114300" simplePos="0" relativeHeight="251658240" behindDoc="0" locked="0" layoutInCell="1" allowOverlap="1" wp14:anchorId="6B672C48" wp14:editId="701AC1C9">
            <wp:simplePos x="0" y="0"/>
            <wp:positionH relativeFrom="column">
              <wp:posOffset>3321050</wp:posOffset>
            </wp:positionH>
            <wp:positionV relativeFrom="paragraph">
              <wp:posOffset>259715</wp:posOffset>
            </wp:positionV>
            <wp:extent cx="1613300" cy="2224585"/>
            <wp:effectExtent l="0" t="0" r="6350" b="4445"/>
            <wp:wrapSquare wrapText="bothSides"/>
            <wp:docPr id="1" name="Imagen 1" descr="D:\Users\ejdiiorio\Downloads\thumbnail_IMG_95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ejdiiorio\Downloads\thumbnail_IMG_9504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3300" cy="2224585"/>
                    </a:xfrm>
                    <a:prstGeom prst="rect">
                      <a:avLst/>
                    </a:prstGeom>
                    <a:noFill/>
                    <a:ln>
                      <a:noFill/>
                    </a:ln>
                  </pic:spPr>
                </pic:pic>
              </a:graphicData>
            </a:graphic>
          </wp:anchor>
        </w:drawing>
      </w:r>
    </w:p>
    <w:p w:rsidR="0081715A" w:rsidRDefault="0081715A" w:rsidP="00AE0E68">
      <w:pPr>
        <w:spacing w:after="0" w:line="360" w:lineRule="auto"/>
        <w:jc w:val="both"/>
      </w:pPr>
    </w:p>
    <w:p w:rsidR="00AA505E" w:rsidRDefault="00AA505E" w:rsidP="00F4287C">
      <w:pPr>
        <w:spacing w:after="0" w:line="360" w:lineRule="auto"/>
        <w:jc w:val="right"/>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F4287C" w:rsidRPr="007C28B0" w:rsidRDefault="00F4287C" w:rsidP="007C28B0">
      <w:pPr>
        <w:spacing w:after="0" w:line="240" w:lineRule="auto"/>
        <w:jc w:val="right"/>
        <w:rPr>
          <w:rFonts w:ascii="Arial" w:hAnsi="Arial" w:cs="Arial"/>
          <w:b/>
          <w:sz w:val="20"/>
        </w:rPr>
      </w:pPr>
      <w:r w:rsidRPr="007C28B0">
        <w:rPr>
          <w:rFonts w:ascii="Arial" w:hAnsi="Arial" w:cs="Arial"/>
          <w:b/>
          <w:sz w:val="20"/>
        </w:rPr>
        <w:t>Título: El sistema penal bonaerense III</w:t>
      </w:r>
    </w:p>
    <w:p w:rsidR="00F4287C" w:rsidRPr="007C28B0" w:rsidRDefault="00F4287C" w:rsidP="007C28B0">
      <w:pPr>
        <w:spacing w:after="0" w:line="240" w:lineRule="auto"/>
        <w:jc w:val="right"/>
        <w:rPr>
          <w:rFonts w:ascii="Arial" w:hAnsi="Arial" w:cs="Arial"/>
          <w:b/>
          <w:sz w:val="20"/>
        </w:rPr>
      </w:pPr>
      <w:r w:rsidRPr="007C28B0">
        <w:rPr>
          <w:rFonts w:ascii="Arial" w:hAnsi="Arial" w:cs="Arial"/>
          <w:b/>
          <w:sz w:val="20"/>
        </w:rPr>
        <w:t xml:space="preserve">Coord. Ricardo S. </w:t>
      </w:r>
      <w:proofErr w:type="spellStart"/>
      <w:r w:rsidRPr="007C28B0">
        <w:rPr>
          <w:rFonts w:ascii="Arial" w:hAnsi="Arial" w:cs="Arial"/>
          <w:b/>
          <w:sz w:val="20"/>
        </w:rPr>
        <w:t>Favarotto</w:t>
      </w:r>
      <w:proofErr w:type="spellEnd"/>
    </w:p>
    <w:p w:rsidR="00F4287C" w:rsidRPr="007C28B0" w:rsidRDefault="00F4287C" w:rsidP="007C28B0">
      <w:pPr>
        <w:spacing w:after="0" w:line="240" w:lineRule="auto"/>
        <w:jc w:val="right"/>
        <w:rPr>
          <w:rFonts w:ascii="Arial" w:hAnsi="Arial" w:cs="Arial"/>
          <w:b/>
          <w:sz w:val="20"/>
        </w:rPr>
      </w:pPr>
      <w:r w:rsidRPr="007C28B0">
        <w:rPr>
          <w:rFonts w:ascii="Arial" w:hAnsi="Arial" w:cs="Arial"/>
          <w:b/>
          <w:sz w:val="20"/>
        </w:rPr>
        <w:t>Año de edición: 2023</w:t>
      </w:r>
    </w:p>
    <w:p w:rsidR="00F4287C" w:rsidRPr="007C28B0" w:rsidRDefault="00285668" w:rsidP="007C28B0">
      <w:pPr>
        <w:spacing w:after="0" w:line="240" w:lineRule="auto"/>
        <w:jc w:val="right"/>
        <w:rPr>
          <w:rFonts w:ascii="Arial" w:hAnsi="Arial" w:cs="Arial"/>
          <w:b/>
          <w:sz w:val="20"/>
        </w:rPr>
      </w:pPr>
      <w:r>
        <w:rPr>
          <w:rFonts w:ascii="Arial" w:hAnsi="Arial" w:cs="Arial"/>
          <w:b/>
          <w:sz w:val="20"/>
        </w:rPr>
        <w:t xml:space="preserve">Editorial: </w:t>
      </w:r>
      <w:r w:rsidR="00F4287C" w:rsidRPr="007C28B0">
        <w:rPr>
          <w:rFonts w:ascii="Arial" w:hAnsi="Arial" w:cs="Arial"/>
          <w:b/>
          <w:sz w:val="20"/>
        </w:rPr>
        <w:t>Editores del Sur</w:t>
      </w:r>
    </w:p>
    <w:p w:rsidR="00F4287C" w:rsidRPr="007C28B0" w:rsidRDefault="00F4287C" w:rsidP="007C28B0">
      <w:pPr>
        <w:spacing w:after="0" w:line="240" w:lineRule="auto"/>
        <w:jc w:val="right"/>
        <w:rPr>
          <w:rFonts w:ascii="Arial" w:hAnsi="Arial" w:cs="Arial"/>
          <w:b/>
          <w:sz w:val="20"/>
        </w:rPr>
      </w:pPr>
      <w:r w:rsidRPr="007C28B0">
        <w:rPr>
          <w:rFonts w:ascii="Arial" w:hAnsi="Arial" w:cs="Arial"/>
          <w:b/>
          <w:sz w:val="20"/>
        </w:rPr>
        <w:t xml:space="preserve">ISBN: 9789874755605  </w:t>
      </w:r>
    </w:p>
    <w:p w:rsidR="00F4287C" w:rsidRPr="007C28B0" w:rsidRDefault="00F4287C" w:rsidP="007C28B0">
      <w:pPr>
        <w:spacing w:after="0" w:line="240" w:lineRule="auto"/>
        <w:jc w:val="right"/>
        <w:rPr>
          <w:b/>
        </w:rPr>
      </w:pPr>
      <w:r w:rsidRPr="007C28B0">
        <w:rPr>
          <w:rFonts w:ascii="Arial" w:hAnsi="Arial" w:cs="Arial"/>
          <w:b/>
          <w:sz w:val="20"/>
        </w:rPr>
        <w:t>Idioma: Español</w:t>
      </w:r>
    </w:p>
    <w:p w:rsidR="00F4287C" w:rsidRDefault="00F4287C" w:rsidP="00F4287C">
      <w:pPr>
        <w:spacing w:after="0" w:line="360" w:lineRule="auto"/>
        <w:jc w:val="right"/>
      </w:pPr>
    </w:p>
    <w:p w:rsidR="00AA505E" w:rsidRDefault="00AA505E" w:rsidP="00AE0E68">
      <w:pPr>
        <w:spacing w:after="0" w:line="360" w:lineRule="auto"/>
        <w:jc w:val="both"/>
      </w:pPr>
    </w:p>
    <w:p w:rsidR="00AA505E" w:rsidRPr="00872AF5" w:rsidRDefault="00AE0E68" w:rsidP="00872AF5">
      <w:pPr>
        <w:spacing w:after="0" w:line="360" w:lineRule="auto"/>
        <w:jc w:val="both"/>
        <w:rPr>
          <w:rFonts w:ascii="Arial" w:hAnsi="Arial" w:cs="Arial"/>
          <w:sz w:val="20"/>
        </w:rPr>
      </w:pPr>
      <w:r>
        <w:tab/>
      </w:r>
      <w:r w:rsidR="00AA505E" w:rsidRPr="00872AF5">
        <w:rPr>
          <w:rFonts w:ascii="Arial" w:hAnsi="Arial" w:cs="Arial"/>
          <w:sz w:val="20"/>
        </w:rPr>
        <w:t>Es una obra colectiva de La Red de Jueces Penales de la Provincia de Buenos Aires, bajo la coordinación de Ricardo S. Favarotto, que contiene un compendio de las Séptimas Jornadas de Actualización para la Magistratura Penal Bonaerense, realizadas en la ciudad de Dolores, el 19 y 20 de agosto de 2022.</w:t>
      </w:r>
    </w:p>
    <w:p w:rsidR="00AA505E" w:rsidRPr="00872AF5" w:rsidRDefault="00AE0E68" w:rsidP="00872AF5">
      <w:pPr>
        <w:spacing w:after="0" w:line="360" w:lineRule="auto"/>
        <w:jc w:val="both"/>
        <w:rPr>
          <w:rFonts w:ascii="Arial" w:hAnsi="Arial" w:cs="Arial"/>
          <w:sz w:val="20"/>
        </w:rPr>
      </w:pPr>
      <w:r w:rsidRPr="00872AF5">
        <w:rPr>
          <w:rFonts w:ascii="Arial" w:hAnsi="Arial" w:cs="Arial"/>
          <w:sz w:val="20"/>
        </w:rPr>
        <w:tab/>
      </w:r>
      <w:r w:rsidR="00AA505E" w:rsidRPr="00872AF5">
        <w:rPr>
          <w:rFonts w:ascii="Arial" w:hAnsi="Arial" w:cs="Arial"/>
          <w:sz w:val="20"/>
        </w:rPr>
        <w:t xml:space="preserve">A título introductorio, Eugenio C. Sarrabayrouse y Amós Arturo Grajales realizan sendos homenajes a la memoria de Julio B. J. Maier y Eduardo N. de </w:t>
      </w:r>
      <w:proofErr w:type="spellStart"/>
      <w:r w:rsidR="00AA505E" w:rsidRPr="00872AF5">
        <w:rPr>
          <w:rFonts w:ascii="Arial" w:hAnsi="Arial" w:cs="Arial"/>
          <w:sz w:val="20"/>
        </w:rPr>
        <w:t>Lázzari</w:t>
      </w:r>
      <w:proofErr w:type="spellEnd"/>
      <w:r w:rsidR="00AA505E" w:rsidRPr="00872AF5">
        <w:rPr>
          <w:rFonts w:ascii="Arial" w:hAnsi="Arial" w:cs="Arial"/>
          <w:sz w:val="20"/>
        </w:rPr>
        <w:t>. Luego, el libro se divide en cinco capítulos, donde se abordan los principales temas de interés para la magistratura y los operadores del fuero penal bonaerense.</w:t>
      </w:r>
    </w:p>
    <w:p w:rsidR="00AA505E" w:rsidRPr="00872AF5" w:rsidRDefault="009153B3" w:rsidP="00872AF5">
      <w:pPr>
        <w:spacing w:after="0" w:line="360" w:lineRule="auto"/>
        <w:jc w:val="both"/>
        <w:rPr>
          <w:rFonts w:ascii="Arial" w:hAnsi="Arial" w:cs="Arial"/>
          <w:sz w:val="20"/>
        </w:rPr>
      </w:pPr>
      <w:r w:rsidRPr="00872AF5">
        <w:rPr>
          <w:rFonts w:ascii="Arial" w:hAnsi="Arial" w:cs="Arial"/>
          <w:sz w:val="20"/>
        </w:rPr>
        <w:tab/>
      </w:r>
      <w:r w:rsidR="00AA505E" w:rsidRPr="00872AF5">
        <w:rPr>
          <w:rFonts w:ascii="Arial" w:hAnsi="Arial" w:cs="Arial"/>
          <w:sz w:val="20"/>
        </w:rPr>
        <w:t>El primero de esos capítulos es el relativo a la Independencia y responsabilidad de la judicatura, con especial análisis de la remoción de los jueces por el contenido de sus sentencias. Aquí se publican los trabajos de Eduardo P. Jiménez (“Independencia y responsabilidad en la función jurisdiccional: remoción de los jueces por el contenido de sus fallos”), Gabriel H. Di Giulio (“Tensiones a la independencia judicial en el sistema de justicia penal argentino”), Alfonso Santiago (“Responsabilidad de los jueces por el contenido de sus decisiones jurisdiccionales”) y Ricardo S. Favarotto (“Independencia y responsabilidad de la función jurisdiccional”).</w:t>
      </w:r>
    </w:p>
    <w:p w:rsidR="00AA505E" w:rsidRPr="00872AF5" w:rsidRDefault="009153B3" w:rsidP="00872AF5">
      <w:pPr>
        <w:spacing w:after="0" w:line="360" w:lineRule="auto"/>
        <w:jc w:val="both"/>
        <w:rPr>
          <w:rFonts w:ascii="Arial" w:hAnsi="Arial" w:cs="Arial"/>
          <w:sz w:val="20"/>
        </w:rPr>
      </w:pPr>
      <w:r w:rsidRPr="00872AF5">
        <w:rPr>
          <w:rFonts w:ascii="Arial" w:hAnsi="Arial" w:cs="Arial"/>
          <w:sz w:val="20"/>
        </w:rPr>
        <w:lastRenderedPageBreak/>
        <w:tab/>
      </w:r>
      <w:r w:rsidR="00AA505E" w:rsidRPr="00872AF5">
        <w:rPr>
          <w:rFonts w:ascii="Arial" w:hAnsi="Arial" w:cs="Arial"/>
          <w:sz w:val="20"/>
        </w:rPr>
        <w:t xml:space="preserve">El segundo capítulo se refiere a los Aspectos conflictivos de la provincialización del narcomenudeo, incluyendo trabajos de Roberto D. Martínez </w:t>
      </w:r>
      <w:proofErr w:type="spellStart"/>
      <w:r w:rsidR="00AA505E" w:rsidRPr="00872AF5">
        <w:rPr>
          <w:rFonts w:ascii="Arial" w:hAnsi="Arial" w:cs="Arial"/>
          <w:sz w:val="20"/>
        </w:rPr>
        <w:t>Astorino</w:t>
      </w:r>
      <w:proofErr w:type="spellEnd"/>
      <w:r w:rsidR="00AA505E" w:rsidRPr="00872AF5">
        <w:rPr>
          <w:rFonts w:ascii="Arial" w:hAnsi="Arial" w:cs="Arial"/>
          <w:sz w:val="20"/>
        </w:rPr>
        <w:t xml:space="preserve"> (“La </w:t>
      </w:r>
      <w:proofErr w:type="spellStart"/>
      <w:r w:rsidR="00AA505E" w:rsidRPr="00872AF5">
        <w:rPr>
          <w:rFonts w:ascii="Arial" w:hAnsi="Arial" w:cs="Arial"/>
          <w:sz w:val="20"/>
        </w:rPr>
        <w:t>desfederalización</w:t>
      </w:r>
      <w:proofErr w:type="spellEnd"/>
      <w:r w:rsidR="00AA505E" w:rsidRPr="00872AF5">
        <w:rPr>
          <w:rFonts w:ascii="Arial" w:hAnsi="Arial" w:cs="Arial"/>
          <w:sz w:val="20"/>
        </w:rPr>
        <w:t xml:space="preserve"> implantada por ley 26.052, a la ley de estupefacientes. La experiencia de la provincia de Buenos Aires”), y Victoria </w:t>
      </w:r>
      <w:proofErr w:type="spellStart"/>
      <w:r w:rsidR="00AA505E" w:rsidRPr="00872AF5">
        <w:rPr>
          <w:rFonts w:ascii="Arial" w:hAnsi="Arial" w:cs="Arial"/>
          <w:sz w:val="20"/>
        </w:rPr>
        <w:t>Darraidou</w:t>
      </w:r>
      <w:proofErr w:type="spellEnd"/>
      <w:r w:rsidR="00AA505E" w:rsidRPr="00872AF5">
        <w:rPr>
          <w:rFonts w:ascii="Arial" w:hAnsi="Arial" w:cs="Arial"/>
          <w:sz w:val="20"/>
        </w:rPr>
        <w:t xml:space="preserve"> (La experiencia de la </w:t>
      </w:r>
      <w:proofErr w:type="spellStart"/>
      <w:r w:rsidR="00AA505E" w:rsidRPr="00872AF5">
        <w:rPr>
          <w:rFonts w:ascii="Arial" w:hAnsi="Arial" w:cs="Arial"/>
          <w:sz w:val="20"/>
        </w:rPr>
        <w:t>desfederalización</w:t>
      </w:r>
      <w:proofErr w:type="spellEnd"/>
      <w:r w:rsidR="00AA505E" w:rsidRPr="00872AF5">
        <w:rPr>
          <w:rFonts w:ascii="Arial" w:hAnsi="Arial" w:cs="Arial"/>
          <w:sz w:val="20"/>
        </w:rPr>
        <w:t xml:space="preserve"> en la provincia de Buenos Aires como una profundización de la respuesta punitiva estatal”).</w:t>
      </w:r>
    </w:p>
    <w:p w:rsidR="00AA505E" w:rsidRPr="00872AF5" w:rsidRDefault="00332D30" w:rsidP="00872AF5">
      <w:pPr>
        <w:spacing w:after="0" w:line="360" w:lineRule="auto"/>
        <w:jc w:val="both"/>
        <w:rPr>
          <w:rFonts w:ascii="Arial" w:hAnsi="Arial" w:cs="Arial"/>
          <w:sz w:val="20"/>
        </w:rPr>
      </w:pPr>
      <w:r w:rsidRPr="00872AF5">
        <w:rPr>
          <w:rFonts w:ascii="Arial" w:hAnsi="Arial" w:cs="Arial"/>
          <w:sz w:val="20"/>
        </w:rPr>
        <w:tab/>
      </w:r>
      <w:r w:rsidR="00AA505E" w:rsidRPr="00872AF5">
        <w:rPr>
          <w:rFonts w:ascii="Arial" w:hAnsi="Arial" w:cs="Arial"/>
          <w:sz w:val="20"/>
        </w:rPr>
        <w:t xml:space="preserve">El capítulo tres está dedicado al Juicio por jurados bonaerense, donde hay artículos de la autoría de Matías M. </w:t>
      </w:r>
      <w:proofErr w:type="spellStart"/>
      <w:r w:rsidR="00AA505E" w:rsidRPr="00872AF5">
        <w:rPr>
          <w:rFonts w:ascii="Arial" w:hAnsi="Arial" w:cs="Arial"/>
          <w:sz w:val="20"/>
        </w:rPr>
        <w:t>Deane</w:t>
      </w:r>
      <w:proofErr w:type="spellEnd"/>
      <w:r w:rsidR="00AA505E" w:rsidRPr="00872AF5">
        <w:rPr>
          <w:rFonts w:ascii="Arial" w:hAnsi="Arial" w:cs="Arial"/>
          <w:sz w:val="20"/>
        </w:rPr>
        <w:t xml:space="preserve"> (“Reflexiones críticas sobre la implementación del juicio por jurados en la provincia de Buenos Aires”), Nicolás Schiavo (“Los peligros del </w:t>
      </w:r>
      <w:proofErr w:type="spellStart"/>
      <w:r w:rsidR="00AA505E" w:rsidRPr="00872AF5">
        <w:rPr>
          <w:rFonts w:ascii="Arial" w:hAnsi="Arial" w:cs="Arial"/>
          <w:sz w:val="20"/>
        </w:rPr>
        <w:t>comparativismo</w:t>
      </w:r>
      <w:proofErr w:type="spellEnd"/>
      <w:r w:rsidR="00AA505E" w:rsidRPr="00872AF5">
        <w:rPr>
          <w:rFonts w:ascii="Arial" w:hAnsi="Arial" w:cs="Arial"/>
          <w:sz w:val="20"/>
        </w:rPr>
        <w:t xml:space="preserve"> legal. La regla de unanimidad del veredicto del jurado”), José Luis Ares (“Jurado estancado y ne bis in ídem”), y Gustavo A. </w:t>
      </w:r>
      <w:proofErr w:type="spellStart"/>
      <w:r w:rsidR="00AA505E" w:rsidRPr="00872AF5">
        <w:rPr>
          <w:rFonts w:ascii="Arial" w:hAnsi="Arial" w:cs="Arial"/>
          <w:sz w:val="20"/>
        </w:rPr>
        <w:t>Herbel</w:t>
      </w:r>
      <w:proofErr w:type="spellEnd"/>
      <w:r w:rsidR="00AA505E" w:rsidRPr="00872AF5">
        <w:rPr>
          <w:rFonts w:ascii="Arial" w:hAnsi="Arial" w:cs="Arial"/>
          <w:sz w:val="20"/>
        </w:rPr>
        <w:t xml:space="preserve"> (“El alcance del recurso contra el veredicto de culpabilidad del jurado lego”).</w:t>
      </w:r>
    </w:p>
    <w:p w:rsidR="00AA505E" w:rsidRPr="00872AF5" w:rsidRDefault="00332D30" w:rsidP="00872AF5">
      <w:pPr>
        <w:spacing w:after="0" w:line="360" w:lineRule="auto"/>
        <w:jc w:val="both"/>
        <w:rPr>
          <w:rFonts w:ascii="Arial" w:hAnsi="Arial" w:cs="Arial"/>
          <w:sz w:val="20"/>
        </w:rPr>
      </w:pPr>
      <w:r w:rsidRPr="00872AF5">
        <w:rPr>
          <w:rFonts w:ascii="Arial" w:hAnsi="Arial" w:cs="Arial"/>
          <w:sz w:val="20"/>
        </w:rPr>
        <w:tab/>
        <w:t>E</w:t>
      </w:r>
      <w:r w:rsidR="00AA505E" w:rsidRPr="00872AF5">
        <w:rPr>
          <w:rFonts w:ascii="Arial" w:hAnsi="Arial" w:cs="Arial"/>
          <w:sz w:val="20"/>
        </w:rPr>
        <w:t xml:space="preserve">n el cuarto capítulo se estudian y desarrollan las Transformación de la gestión judicial </w:t>
      </w:r>
      <w:proofErr w:type="spellStart"/>
      <w:r w:rsidR="00AA505E" w:rsidRPr="00872AF5">
        <w:rPr>
          <w:rFonts w:ascii="Arial" w:hAnsi="Arial" w:cs="Arial"/>
          <w:sz w:val="20"/>
        </w:rPr>
        <w:t>postpandemia</w:t>
      </w:r>
      <w:proofErr w:type="spellEnd"/>
      <w:r w:rsidR="00AA505E" w:rsidRPr="00872AF5">
        <w:rPr>
          <w:rFonts w:ascii="Arial" w:hAnsi="Arial" w:cs="Arial"/>
          <w:sz w:val="20"/>
        </w:rPr>
        <w:t>, con trabajos a cargo de Jorge Walter López (“Innovaciones de gestión en clave de Derechos Humanos”) y Carolina Granja (“El cauce de la transparencia: entre la publicidad procesal y la legitimidad social”).</w:t>
      </w:r>
    </w:p>
    <w:p w:rsidR="00AA505E" w:rsidRPr="00872AF5" w:rsidRDefault="00332D30" w:rsidP="00872AF5">
      <w:pPr>
        <w:spacing w:after="0" w:line="360" w:lineRule="auto"/>
        <w:jc w:val="both"/>
        <w:rPr>
          <w:rFonts w:ascii="Arial" w:hAnsi="Arial" w:cs="Arial"/>
          <w:sz w:val="20"/>
        </w:rPr>
      </w:pPr>
      <w:r w:rsidRPr="00872AF5">
        <w:rPr>
          <w:rFonts w:ascii="Arial" w:hAnsi="Arial" w:cs="Arial"/>
          <w:sz w:val="20"/>
        </w:rPr>
        <w:tab/>
      </w:r>
      <w:r w:rsidR="00AA505E" w:rsidRPr="00872AF5">
        <w:rPr>
          <w:rFonts w:ascii="Arial" w:hAnsi="Arial" w:cs="Arial"/>
          <w:sz w:val="20"/>
        </w:rPr>
        <w:t>En el quinto capítulo no sólo se publica la sentencia íntegra dictada en el Caso Báez Sosa, sino que se analizan los aspectos relevantes del mediatizado proceso judicial, en particular del decisorio dictado por el Tribunal en lo Criminal n° 1 de Dolores, con artículos a cargo de Ricardo S. Favarotto (“La peligrosa desnaturalización del juicio previo, a través de los juicios paralelos”), Luciano Bianchi (“Justicia y Estado de Derecho”), Alejandro O. Tazza (“La alevosía y el concurso premeditado. Nociones básicas y diferencias con otros tipos penales”), y Carlos M. González Guerra (“La democratización de la Justicia. El fallo que quería la mayoría por el homicidio de Fernando Báez Sosa”).</w:t>
      </w:r>
    </w:p>
    <w:p w:rsidR="00AA505E" w:rsidRPr="00872AF5" w:rsidRDefault="00332D30" w:rsidP="00872AF5">
      <w:pPr>
        <w:spacing w:after="0" w:line="360" w:lineRule="auto"/>
        <w:jc w:val="both"/>
        <w:rPr>
          <w:rFonts w:ascii="Arial" w:hAnsi="Arial" w:cs="Arial"/>
          <w:sz w:val="20"/>
        </w:rPr>
      </w:pPr>
      <w:r w:rsidRPr="00872AF5">
        <w:rPr>
          <w:rFonts w:ascii="Arial" w:hAnsi="Arial" w:cs="Arial"/>
          <w:sz w:val="20"/>
        </w:rPr>
        <w:tab/>
      </w:r>
      <w:r w:rsidR="00AA505E" w:rsidRPr="00872AF5">
        <w:rPr>
          <w:rFonts w:ascii="Arial" w:hAnsi="Arial" w:cs="Arial"/>
          <w:sz w:val="20"/>
        </w:rPr>
        <w:t>Por último, la obra incluye un apéndice documental donde se publican los documentos y declaraciones de La Red de Jueces Penales de la Provincia de Buenos Aires en el período 2022 - 2023.</w:t>
      </w:r>
    </w:p>
    <w:p w:rsidR="00FB2395" w:rsidRPr="00872AF5" w:rsidRDefault="00332D30" w:rsidP="00872AF5">
      <w:pPr>
        <w:spacing w:after="0" w:line="360" w:lineRule="auto"/>
        <w:jc w:val="both"/>
        <w:rPr>
          <w:rFonts w:ascii="Arial" w:hAnsi="Arial" w:cs="Arial"/>
          <w:sz w:val="20"/>
        </w:rPr>
      </w:pPr>
      <w:r w:rsidRPr="00872AF5">
        <w:rPr>
          <w:rFonts w:ascii="Arial" w:hAnsi="Arial" w:cs="Arial"/>
          <w:sz w:val="20"/>
        </w:rPr>
        <w:tab/>
      </w:r>
      <w:r w:rsidR="00AA505E" w:rsidRPr="00872AF5">
        <w:rPr>
          <w:rFonts w:ascii="Arial" w:hAnsi="Arial" w:cs="Arial"/>
          <w:sz w:val="20"/>
        </w:rPr>
        <w:t>En síntesis, se trata de la tercera edición de un trabajo colectivo, de 550 páginas, sobre temas de estricta actualidad para el fuero penal, que apunta a ser material de estudio y consulta para todos los operadores jurídicos bonaerenses.</w:t>
      </w:r>
    </w:p>
    <w:sectPr w:rsidR="00FB2395" w:rsidRPr="00872AF5" w:rsidSect="0081715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79" w:rsidRDefault="00F20279" w:rsidP="00872AF5">
      <w:pPr>
        <w:spacing w:after="0" w:line="240" w:lineRule="auto"/>
      </w:pPr>
      <w:r>
        <w:separator/>
      </w:r>
    </w:p>
  </w:endnote>
  <w:endnote w:type="continuationSeparator" w:id="0">
    <w:p w:rsidR="00F20279" w:rsidRDefault="00F20279" w:rsidP="0087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46" w:rsidRDefault="00A54A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F5" w:rsidRPr="00A54A46" w:rsidRDefault="00872AF5" w:rsidP="00872AF5">
    <w:pPr>
      <w:pStyle w:val="Piedepgina"/>
      <w:spacing w:line="360" w:lineRule="auto"/>
      <w:jc w:val="right"/>
      <w:rPr>
        <w:rFonts w:ascii="Cambria" w:hAnsi="Cambria" w:cs="Arial"/>
        <w:sz w:val="20"/>
        <w:szCs w:val="20"/>
      </w:rPr>
    </w:pPr>
    <w:r w:rsidRPr="00A54A46">
      <w:rPr>
        <w:rFonts w:ascii="Cambria" w:hAnsi="Cambria" w:cs="Arial"/>
        <w:sz w:val="20"/>
        <w:szCs w:val="20"/>
      </w:rPr>
      <w:t>Año 5 - Número 10 –julio-diciembre 2023. ISSN: 2525-0620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5A" w:rsidRDefault="0081715A" w:rsidP="00872AF5">
    <w:pPr>
      <w:pStyle w:val="Piedepgina"/>
      <w:spacing w:line="360" w:lineRule="auto"/>
      <w:jc w:val="right"/>
      <w:rPr>
        <w:rFonts w:ascii="Cambria" w:hAnsi="Cambria" w:cs="Arial"/>
        <w:i/>
        <w:sz w:val="20"/>
        <w:szCs w:val="20"/>
      </w:rPr>
    </w:pPr>
  </w:p>
  <w:p w:rsidR="0081715A" w:rsidRDefault="0081715A" w:rsidP="00872AF5">
    <w:pPr>
      <w:pStyle w:val="Piedepgina"/>
      <w:spacing w:line="360" w:lineRule="auto"/>
      <w:jc w:val="right"/>
      <w:rPr>
        <w:rFonts w:ascii="Cambria" w:hAnsi="Cambria" w:cs="Arial"/>
        <w:i/>
        <w:sz w:val="20"/>
        <w:szCs w:val="20"/>
      </w:rPr>
    </w:pPr>
  </w:p>
  <w:p w:rsidR="00872AF5" w:rsidRPr="00A54A46" w:rsidRDefault="00872AF5" w:rsidP="00872AF5">
    <w:pPr>
      <w:pStyle w:val="Piedepgina"/>
      <w:spacing w:line="360" w:lineRule="auto"/>
      <w:jc w:val="right"/>
      <w:rPr>
        <w:rFonts w:ascii="Cambria" w:hAnsi="Cambria" w:cs="Arial"/>
        <w:sz w:val="20"/>
        <w:szCs w:val="20"/>
      </w:rPr>
    </w:pPr>
    <w:r w:rsidRPr="00A54A46">
      <w:rPr>
        <w:rFonts w:ascii="Cambria" w:hAnsi="Cambria" w:cs="Arial"/>
        <w:sz w:val="20"/>
        <w:szCs w:val="20"/>
      </w:rPr>
      <w:t>Año 5 - Número 10 –julio-diciembre 2023. ISS</w:t>
    </w:r>
    <w:bookmarkStart w:id="0" w:name="_GoBack"/>
    <w:bookmarkEnd w:id="0"/>
    <w:r w:rsidRPr="00A54A46">
      <w:rPr>
        <w:rFonts w:ascii="Cambria" w:hAnsi="Cambria" w:cs="Arial"/>
        <w:sz w:val="20"/>
        <w:szCs w:val="20"/>
      </w:rPr>
      <w:t>N: 2525-0620</w:t>
    </w:r>
  </w:p>
  <w:p w:rsidR="00872AF5" w:rsidRPr="00872AF5" w:rsidRDefault="00872AF5" w:rsidP="00872AF5">
    <w:pPr>
      <w:pStyle w:val="Piedepgina"/>
      <w:spacing w:line="360" w:lineRule="auto"/>
      <w:jc w:val="right"/>
      <w:rPr>
        <w:rFonts w:ascii="Cambria" w:hAnsi="Cambria" w:cs="Arial"/>
        <w:i/>
        <w:sz w:val="20"/>
        <w:szCs w:val="20"/>
      </w:rPr>
    </w:pPr>
    <w:r>
      <w:rPr>
        <w:noProof/>
        <w:bdr w:val="none" w:sz="0" w:space="0" w:color="auto" w:frame="1"/>
        <w:lang w:eastAsia="es-AR"/>
      </w:rPr>
      <w:drawing>
        <wp:inline distT="0" distB="0" distL="0" distR="0" wp14:anchorId="66A1A8D2" wp14:editId="62D6751A">
          <wp:extent cx="762000" cy="266700"/>
          <wp:effectExtent l="0" t="0" r="0" b="0"/>
          <wp:docPr id="2" name="Imagen 2" descr="D:\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79" w:rsidRDefault="00F20279" w:rsidP="00872AF5">
      <w:pPr>
        <w:spacing w:after="0" w:line="240" w:lineRule="auto"/>
      </w:pPr>
      <w:r>
        <w:separator/>
      </w:r>
    </w:p>
  </w:footnote>
  <w:footnote w:type="continuationSeparator" w:id="0">
    <w:p w:rsidR="00F20279" w:rsidRDefault="00F20279" w:rsidP="00872AF5">
      <w:pPr>
        <w:spacing w:after="0" w:line="240" w:lineRule="auto"/>
      </w:pPr>
      <w:r>
        <w:continuationSeparator/>
      </w:r>
    </w:p>
  </w:footnote>
  <w:footnote w:id="1">
    <w:p w:rsidR="004B1F6B" w:rsidRPr="004B1F6B" w:rsidRDefault="004B1F6B" w:rsidP="004B1F6B">
      <w:pPr>
        <w:pStyle w:val="NormalWeb"/>
        <w:shd w:val="clear" w:color="auto" w:fill="FFFFFF"/>
        <w:spacing w:before="240" w:beforeAutospacing="0" w:after="0" w:afterAutospacing="0"/>
        <w:rPr>
          <w:rFonts w:ascii="Arial" w:hAnsi="Arial" w:cs="Arial"/>
          <w:color w:val="333333"/>
          <w:sz w:val="18"/>
          <w:szCs w:val="18"/>
        </w:rPr>
      </w:pPr>
      <w:r>
        <w:rPr>
          <w:rStyle w:val="Refdenotaalpie"/>
        </w:rPr>
        <w:footnoteRef/>
      </w:r>
      <w:r>
        <w:t xml:space="preserve"> </w:t>
      </w:r>
      <w:r w:rsidRPr="004B1F6B">
        <w:rPr>
          <w:rFonts w:ascii="Arial" w:hAnsi="Arial" w:cs="Arial"/>
          <w:color w:val="333333"/>
          <w:sz w:val="18"/>
          <w:szCs w:val="18"/>
        </w:rPr>
        <w:t xml:space="preserve"> Ex Juez d</w:t>
      </w:r>
      <w:r>
        <w:rPr>
          <w:rFonts w:ascii="Arial" w:hAnsi="Arial" w:cs="Arial"/>
          <w:color w:val="333333"/>
          <w:sz w:val="18"/>
          <w:szCs w:val="18"/>
        </w:rPr>
        <w:t>e la Cámara de Apelaciones.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46" w:rsidRDefault="00A54A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F5" w:rsidRPr="00A54A46" w:rsidRDefault="00872AF5" w:rsidP="00872AF5">
    <w:pPr>
      <w:pStyle w:val="Encabezado"/>
      <w:pBdr>
        <w:bottom w:val="single" w:sz="6" w:space="1" w:color="auto"/>
      </w:pBdr>
      <w:jc w:val="right"/>
      <w:rPr>
        <w:rFonts w:ascii="Cambria" w:hAnsi="Cambria" w:cs="Arial"/>
        <w:sz w:val="20"/>
        <w:szCs w:val="20"/>
      </w:rPr>
    </w:pPr>
    <w:r w:rsidRPr="00A54A46">
      <w:rPr>
        <w:rFonts w:ascii="Cambria" w:hAnsi="Cambria" w:cs="Arial"/>
        <w:sz w:val="20"/>
        <w:szCs w:val="20"/>
      </w:rPr>
      <w:t>Revista Nueva Crítica Penal</w:t>
    </w:r>
  </w:p>
  <w:p w:rsidR="00872AF5" w:rsidRDefault="00872A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F5" w:rsidRPr="00A54A46" w:rsidRDefault="00872AF5" w:rsidP="00872AF5">
    <w:pPr>
      <w:pStyle w:val="Encabezado"/>
      <w:pBdr>
        <w:bottom w:val="single" w:sz="6" w:space="1" w:color="auto"/>
      </w:pBdr>
      <w:jc w:val="right"/>
      <w:rPr>
        <w:rFonts w:ascii="Cambria" w:hAnsi="Cambria" w:cs="Arial"/>
        <w:sz w:val="20"/>
        <w:szCs w:val="20"/>
      </w:rPr>
    </w:pPr>
    <w:r w:rsidRPr="00A54A46">
      <w:rPr>
        <w:rFonts w:ascii="Cambria" w:hAnsi="Cambria" w:cs="Arial"/>
        <w:sz w:val="20"/>
        <w:szCs w:val="20"/>
      </w:rPr>
      <w:t>Revista Nueva Crítica Penal</w:t>
    </w:r>
  </w:p>
  <w:p w:rsidR="00872AF5" w:rsidRDefault="00872A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71"/>
    <w:rsid w:val="001379F1"/>
    <w:rsid w:val="00285668"/>
    <w:rsid w:val="002C634B"/>
    <w:rsid w:val="00332D30"/>
    <w:rsid w:val="0039304F"/>
    <w:rsid w:val="00414BCD"/>
    <w:rsid w:val="0049145C"/>
    <w:rsid w:val="004B1F6B"/>
    <w:rsid w:val="004B3871"/>
    <w:rsid w:val="00510622"/>
    <w:rsid w:val="006B6AA0"/>
    <w:rsid w:val="007C28B0"/>
    <w:rsid w:val="007C5829"/>
    <w:rsid w:val="0081715A"/>
    <w:rsid w:val="00872AF5"/>
    <w:rsid w:val="008800E2"/>
    <w:rsid w:val="009153B3"/>
    <w:rsid w:val="00A54A46"/>
    <w:rsid w:val="00AA505E"/>
    <w:rsid w:val="00AE0E68"/>
    <w:rsid w:val="00B34300"/>
    <w:rsid w:val="00B70E43"/>
    <w:rsid w:val="00C229CB"/>
    <w:rsid w:val="00C86962"/>
    <w:rsid w:val="00D32E9F"/>
    <w:rsid w:val="00D96C45"/>
    <w:rsid w:val="00E57496"/>
    <w:rsid w:val="00E805D1"/>
    <w:rsid w:val="00EC4DFD"/>
    <w:rsid w:val="00F20279"/>
    <w:rsid w:val="00F37E5B"/>
    <w:rsid w:val="00F4287C"/>
    <w:rsid w:val="00FB2395"/>
    <w:rsid w:val="00FB2B8C"/>
    <w:rsid w:val="00FB2E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2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AF5"/>
  </w:style>
  <w:style w:type="paragraph" w:styleId="Piedepgina">
    <w:name w:val="footer"/>
    <w:basedOn w:val="Normal"/>
    <w:link w:val="PiedepginaCar"/>
    <w:uiPriority w:val="99"/>
    <w:unhideWhenUsed/>
    <w:rsid w:val="00872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AF5"/>
  </w:style>
  <w:style w:type="paragraph" w:styleId="Textodeglobo">
    <w:name w:val="Balloon Text"/>
    <w:basedOn w:val="Normal"/>
    <w:link w:val="TextodegloboCar"/>
    <w:uiPriority w:val="99"/>
    <w:semiHidden/>
    <w:unhideWhenUsed/>
    <w:rsid w:val="008171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15A"/>
    <w:rPr>
      <w:rFonts w:ascii="Tahoma" w:hAnsi="Tahoma" w:cs="Tahoma"/>
      <w:sz w:val="16"/>
      <w:szCs w:val="16"/>
    </w:rPr>
  </w:style>
  <w:style w:type="paragraph" w:styleId="Textonotapie">
    <w:name w:val="footnote text"/>
    <w:basedOn w:val="Normal"/>
    <w:link w:val="TextonotapieCar"/>
    <w:uiPriority w:val="99"/>
    <w:semiHidden/>
    <w:unhideWhenUsed/>
    <w:rsid w:val="004B1F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1F6B"/>
    <w:rPr>
      <w:sz w:val="20"/>
      <w:szCs w:val="20"/>
    </w:rPr>
  </w:style>
  <w:style w:type="character" w:styleId="Refdenotaalpie">
    <w:name w:val="footnote reference"/>
    <w:basedOn w:val="Fuentedeprrafopredeter"/>
    <w:uiPriority w:val="99"/>
    <w:semiHidden/>
    <w:unhideWhenUsed/>
    <w:rsid w:val="004B1F6B"/>
    <w:rPr>
      <w:vertAlign w:val="superscript"/>
    </w:rPr>
  </w:style>
  <w:style w:type="paragraph" w:styleId="NormalWeb">
    <w:name w:val="Normal (Web)"/>
    <w:basedOn w:val="Normal"/>
    <w:uiPriority w:val="99"/>
    <w:unhideWhenUsed/>
    <w:rsid w:val="004B1F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414B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2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AF5"/>
  </w:style>
  <w:style w:type="paragraph" w:styleId="Piedepgina">
    <w:name w:val="footer"/>
    <w:basedOn w:val="Normal"/>
    <w:link w:val="PiedepginaCar"/>
    <w:uiPriority w:val="99"/>
    <w:unhideWhenUsed/>
    <w:rsid w:val="00872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AF5"/>
  </w:style>
  <w:style w:type="paragraph" w:styleId="Textodeglobo">
    <w:name w:val="Balloon Text"/>
    <w:basedOn w:val="Normal"/>
    <w:link w:val="TextodegloboCar"/>
    <w:uiPriority w:val="99"/>
    <w:semiHidden/>
    <w:unhideWhenUsed/>
    <w:rsid w:val="008171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15A"/>
    <w:rPr>
      <w:rFonts w:ascii="Tahoma" w:hAnsi="Tahoma" w:cs="Tahoma"/>
      <w:sz w:val="16"/>
      <w:szCs w:val="16"/>
    </w:rPr>
  </w:style>
  <w:style w:type="paragraph" w:styleId="Textonotapie">
    <w:name w:val="footnote text"/>
    <w:basedOn w:val="Normal"/>
    <w:link w:val="TextonotapieCar"/>
    <w:uiPriority w:val="99"/>
    <w:semiHidden/>
    <w:unhideWhenUsed/>
    <w:rsid w:val="004B1F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1F6B"/>
    <w:rPr>
      <w:sz w:val="20"/>
      <w:szCs w:val="20"/>
    </w:rPr>
  </w:style>
  <w:style w:type="character" w:styleId="Refdenotaalpie">
    <w:name w:val="footnote reference"/>
    <w:basedOn w:val="Fuentedeprrafopredeter"/>
    <w:uiPriority w:val="99"/>
    <w:semiHidden/>
    <w:unhideWhenUsed/>
    <w:rsid w:val="004B1F6B"/>
    <w:rPr>
      <w:vertAlign w:val="superscript"/>
    </w:rPr>
  </w:style>
  <w:style w:type="paragraph" w:styleId="NormalWeb">
    <w:name w:val="Normal (Web)"/>
    <w:basedOn w:val="Normal"/>
    <w:uiPriority w:val="99"/>
    <w:unhideWhenUsed/>
    <w:rsid w:val="004B1F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41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9CD1-A7FC-45E7-8EF5-724FE101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Presentación y comentario a ¨El sistema penal bonaerense III, coordinado por Ricardo S. Favarotto (Editores del Sur)</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y comentario a ¨El sistema penal bonaerense III, coordinado por Ricardo S. Favarotto (Editores del Sur)</dc:title>
  <dc:creator>Favarotto Ricardo</dc:creator>
  <cp:lastModifiedBy>Michi K</cp:lastModifiedBy>
  <cp:revision>2</cp:revision>
  <dcterms:created xsi:type="dcterms:W3CDTF">2023-12-14T20:15:00Z</dcterms:created>
  <dcterms:modified xsi:type="dcterms:W3CDTF">2023-12-14T20:15:00Z</dcterms:modified>
</cp:coreProperties>
</file>