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5E" w:rsidRPr="00414BCD" w:rsidRDefault="00285668" w:rsidP="00414BCD">
      <w:pPr>
        <w:pStyle w:val="Sinespaciado"/>
        <w:jc w:val="center"/>
        <w:rPr>
          <w:rFonts w:ascii="Arial" w:hAnsi="Arial" w:cs="Arial"/>
          <w:b/>
        </w:rPr>
      </w:pPr>
      <w:r w:rsidRPr="00414BCD">
        <w:rPr>
          <w:rFonts w:ascii="Arial" w:hAnsi="Arial" w:cs="Arial"/>
          <w:b/>
        </w:rPr>
        <w:t>Presentación</w:t>
      </w:r>
      <w:r w:rsidR="00872AF5" w:rsidRPr="00414BCD">
        <w:rPr>
          <w:rFonts w:ascii="Arial" w:hAnsi="Arial" w:cs="Arial"/>
          <w:b/>
        </w:rPr>
        <w:t xml:space="preserve"> y comentario a ¨</w:t>
      </w:r>
      <w:r w:rsidR="00AA505E" w:rsidRPr="00414BCD">
        <w:rPr>
          <w:rFonts w:ascii="Arial" w:hAnsi="Arial" w:cs="Arial"/>
          <w:b/>
        </w:rPr>
        <w:t>El sistema penal bonaerense III</w:t>
      </w:r>
      <w:r w:rsidRPr="00414BCD">
        <w:rPr>
          <w:rFonts w:ascii="Arial" w:hAnsi="Arial" w:cs="Arial"/>
          <w:b/>
        </w:rPr>
        <w:t xml:space="preserve">, coordinado por Ricardo S. </w:t>
      </w:r>
      <w:proofErr w:type="spellStart"/>
      <w:r w:rsidRPr="00414BCD">
        <w:rPr>
          <w:rFonts w:ascii="Arial" w:hAnsi="Arial" w:cs="Arial"/>
          <w:b/>
        </w:rPr>
        <w:t>Favarotto</w:t>
      </w:r>
      <w:proofErr w:type="spellEnd"/>
      <w:r w:rsidRPr="00414BCD">
        <w:rPr>
          <w:rFonts w:ascii="Arial" w:hAnsi="Arial" w:cs="Arial"/>
          <w:b/>
        </w:rPr>
        <w:t xml:space="preserve"> (</w:t>
      </w:r>
      <w:r w:rsidR="00AA505E" w:rsidRPr="00414BCD">
        <w:rPr>
          <w:rFonts w:ascii="Arial" w:hAnsi="Arial" w:cs="Arial"/>
          <w:b/>
        </w:rPr>
        <w:t>Editores del Sur</w:t>
      </w:r>
      <w:proofErr w:type="gramStart"/>
      <w:r w:rsidRPr="00414BCD">
        <w:rPr>
          <w:rFonts w:ascii="Arial" w:hAnsi="Arial" w:cs="Arial"/>
          <w:b/>
        </w:rPr>
        <w:t>)</w:t>
      </w:r>
      <w:r w:rsidR="00414BCD">
        <w:rPr>
          <w:rFonts w:ascii="Arial" w:hAnsi="Arial" w:cs="Arial"/>
          <w:b/>
        </w:rPr>
        <w:t>¨</w:t>
      </w:r>
      <w:proofErr w:type="gramEnd"/>
    </w:p>
    <w:p w:rsidR="0081715A" w:rsidRPr="00A54A46" w:rsidRDefault="0081715A" w:rsidP="00AE0E68">
      <w:pPr>
        <w:spacing w:after="0" w:line="360" w:lineRule="auto"/>
        <w:jc w:val="center"/>
        <w:rPr>
          <w:rFonts w:ascii="Arial" w:hAnsi="Arial" w:cs="Arial"/>
          <w:sz w:val="21"/>
          <w:szCs w:val="21"/>
        </w:rPr>
      </w:pPr>
    </w:p>
    <w:p w:rsidR="00B34300" w:rsidRPr="004B1F6B" w:rsidRDefault="00B34300" w:rsidP="00AE0E68">
      <w:pPr>
        <w:spacing w:after="0" w:line="360" w:lineRule="auto"/>
        <w:jc w:val="center"/>
        <w:rPr>
          <w:i/>
        </w:rPr>
      </w:pPr>
      <w:r w:rsidRPr="004B1F6B">
        <w:rPr>
          <w:rFonts w:ascii="Arial" w:hAnsi="Arial" w:cs="Arial"/>
          <w:i/>
          <w:sz w:val="21"/>
          <w:szCs w:val="21"/>
        </w:rPr>
        <w:t xml:space="preserve">Ricardo S. </w:t>
      </w:r>
      <w:proofErr w:type="spellStart"/>
      <w:r w:rsidRPr="004B1F6B">
        <w:rPr>
          <w:rFonts w:ascii="Arial" w:hAnsi="Arial" w:cs="Arial"/>
          <w:i/>
          <w:sz w:val="21"/>
          <w:szCs w:val="21"/>
        </w:rPr>
        <w:t>Favarotto</w:t>
      </w:r>
      <w:proofErr w:type="spellEnd"/>
      <w:r w:rsidRPr="004B1F6B">
        <w:rPr>
          <w:i/>
          <w:noProof/>
          <w:sz w:val="21"/>
          <w:szCs w:val="21"/>
          <w:lang w:val="es-ES" w:eastAsia="es-ES"/>
        </w:rPr>
        <w:t xml:space="preserve"> </w:t>
      </w:r>
      <w:r w:rsidR="004B1F6B">
        <w:rPr>
          <w:rStyle w:val="Refdenotaalpie"/>
          <w:i/>
        </w:rPr>
        <w:footnoteReference w:id="1"/>
      </w:r>
    </w:p>
    <w:p w:rsidR="0081715A" w:rsidRPr="00A54A46" w:rsidRDefault="00B34300" w:rsidP="00AE0E68">
      <w:pPr>
        <w:spacing w:after="0" w:line="360" w:lineRule="auto"/>
        <w:jc w:val="center"/>
        <w:rPr>
          <w:rFonts w:ascii="Arial" w:hAnsi="Arial" w:cs="Arial"/>
          <w:sz w:val="21"/>
          <w:szCs w:val="21"/>
        </w:rPr>
      </w:pPr>
      <w:r w:rsidRPr="00A54A46">
        <w:rPr>
          <w:rFonts w:ascii="Arial" w:hAnsi="Arial" w:cs="Arial"/>
          <w:sz w:val="21"/>
          <w:szCs w:val="21"/>
        </w:rPr>
        <w:t>(Universidad Nacional de Mar del Plata, Argentina)</w:t>
      </w:r>
    </w:p>
    <w:p w:rsidR="0081715A" w:rsidRDefault="0081715A" w:rsidP="00AE0E68">
      <w:pPr>
        <w:spacing w:after="0" w:line="360" w:lineRule="auto"/>
        <w:jc w:val="center"/>
        <w:rPr>
          <w:rFonts w:ascii="Arial" w:hAnsi="Arial" w:cs="Arial"/>
          <w:i/>
          <w:sz w:val="21"/>
          <w:szCs w:val="21"/>
        </w:rPr>
      </w:pPr>
    </w:p>
    <w:p w:rsidR="00AE0E68" w:rsidRPr="00B34300" w:rsidRDefault="00F4287C" w:rsidP="00AE0E68">
      <w:pPr>
        <w:spacing w:after="0" w:line="360" w:lineRule="auto"/>
        <w:jc w:val="center"/>
        <w:rPr>
          <w:rFonts w:ascii="Arial" w:hAnsi="Arial" w:cs="Arial"/>
          <w:i/>
          <w:sz w:val="21"/>
          <w:szCs w:val="21"/>
        </w:rPr>
      </w:pPr>
      <w:r w:rsidRPr="00B34300">
        <w:rPr>
          <w:rFonts w:ascii="Arial" w:hAnsi="Arial" w:cs="Arial"/>
          <w:i/>
          <w:noProof/>
          <w:sz w:val="21"/>
          <w:szCs w:val="21"/>
          <w:lang w:eastAsia="es-AR"/>
        </w:rPr>
        <w:drawing>
          <wp:anchor distT="0" distB="0" distL="114300" distR="114300" simplePos="0" relativeHeight="251658240" behindDoc="0" locked="0" layoutInCell="1" allowOverlap="1" wp14:anchorId="6B672C48" wp14:editId="701AC1C9">
            <wp:simplePos x="0" y="0"/>
            <wp:positionH relativeFrom="column">
              <wp:posOffset>3321050</wp:posOffset>
            </wp:positionH>
            <wp:positionV relativeFrom="paragraph">
              <wp:posOffset>259715</wp:posOffset>
            </wp:positionV>
            <wp:extent cx="1613300" cy="2224585"/>
            <wp:effectExtent l="0" t="0" r="6350" b="4445"/>
            <wp:wrapSquare wrapText="bothSides"/>
            <wp:docPr id="1" name="Imagen 1" descr="D:\Users\ejdiiorio\Downloads\thumbnail_IMG_95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ejdiiorio\Downloads\thumbnail_IMG_9504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3300" cy="2224585"/>
                    </a:xfrm>
                    <a:prstGeom prst="rect">
                      <a:avLst/>
                    </a:prstGeom>
                    <a:noFill/>
                    <a:ln>
                      <a:noFill/>
                    </a:ln>
                  </pic:spPr>
                </pic:pic>
              </a:graphicData>
            </a:graphic>
          </wp:anchor>
        </w:drawing>
      </w:r>
    </w:p>
    <w:p w:rsidR="0081715A" w:rsidRDefault="0081715A" w:rsidP="00AE0E68">
      <w:pPr>
        <w:spacing w:after="0" w:line="360" w:lineRule="auto"/>
        <w:jc w:val="both"/>
      </w:pPr>
    </w:p>
    <w:p w:rsidR="00AA505E" w:rsidRDefault="00AA505E" w:rsidP="00F4287C">
      <w:pPr>
        <w:spacing w:after="0" w:line="360" w:lineRule="auto"/>
        <w:jc w:val="right"/>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F4287C" w:rsidRPr="007C28B0" w:rsidRDefault="00F4287C" w:rsidP="007C28B0">
      <w:pPr>
        <w:spacing w:after="0" w:line="240" w:lineRule="auto"/>
        <w:jc w:val="right"/>
        <w:rPr>
          <w:rFonts w:ascii="Arial" w:hAnsi="Arial" w:cs="Arial"/>
          <w:b/>
          <w:sz w:val="20"/>
        </w:rPr>
      </w:pPr>
      <w:r w:rsidRPr="007C28B0">
        <w:rPr>
          <w:rFonts w:ascii="Arial" w:hAnsi="Arial" w:cs="Arial"/>
          <w:b/>
          <w:sz w:val="20"/>
        </w:rPr>
        <w:t>Título: El sistema penal bonaerense III</w:t>
      </w:r>
    </w:p>
    <w:p w:rsidR="00F4287C" w:rsidRPr="007C28B0" w:rsidRDefault="00F4287C" w:rsidP="007C28B0">
      <w:pPr>
        <w:spacing w:after="0" w:line="240" w:lineRule="auto"/>
        <w:jc w:val="right"/>
        <w:rPr>
          <w:rFonts w:ascii="Arial" w:hAnsi="Arial" w:cs="Arial"/>
          <w:b/>
          <w:sz w:val="20"/>
        </w:rPr>
      </w:pPr>
      <w:r w:rsidRPr="007C28B0">
        <w:rPr>
          <w:rFonts w:ascii="Arial" w:hAnsi="Arial" w:cs="Arial"/>
          <w:b/>
          <w:sz w:val="20"/>
        </w:rPr>
        <w:t xml:space="preserve">Coord. Ricardo S. </w:t>
      </w:r>
      <w:proofErr w:type="spellStart"/>
      <w:r w:rsidRPr="007C28B0">
        <w:rPr>
          <w:rFonts w:ascii="Arial" w:hAnsi="Arial" w:cs="Arial"/>
          <w:b/>
          <w:sz w:val="20"/>
        </w:rPr>
        <w:t>Favarotto</w:t>
      </w:r>
      <w:proofErr w:type="spellEnd"/>
    </w:p>
    <w:p w:rsidR="00F4287C" w:rsidRPr="007C28B0" w:rsidRDefault="00F4287C" w:rsidP="007C28B0">
      <w:pPr>
        <w:spacing w:after="0" w:line="240" w:lineRule="auto"/>
        <w:jc w:val="right"/>
        <w:rPr>
          <w:rFonts w:ascii="Arial" w:hAnsi="Arial" w:cs="Arial"/>
          <w:b/>
          <w:sz w:val="20"/>
        </w:rPr>
      </w:pPr>
      <w:r w:rsidRPr="007C28B0">
        <w:rPr>
          <w:rFonts w:ascii="Arial" w:hAnsi="Arial" w:cs="Arial"/>
          <w:b/>
          <w:sz w:val="20"/>
        </w:rPr>
        <w:t>Año de edición: 2023</w:t>
      </w:r>
    </w:p>
    <w:p w:rsidR="00F4287C" w:rsidRPr="007C28B0" w:rsidRDefault="00285668" w:rsidP="007C28B0">
      <w:pPr>
        <w:spacing w:after="0" w:line="240" w:lineRule="auto"/>
        <w:jc w:val="right"/>
        <w:rPr>
          <w:rFonts w:ascii="Arial" w:hAnsi="Arial" w:cs="Arial"/>
          <w:b/>
          <w:sz w:val="20"/>
        </w:rPr>
      </w:pPr>
      <w:r>
        <w:rPr>
          <w:rFonts w:ascii="Arial" w:hAnsi="Arial" w:cs="Arial"/>
          <w:b/>
          <w:sz w:val="20"/>
        </w:rPr>
        <w:t xml:space="preserve">Editorial: </w:t>
      </w:r>
      <w:r w:rsidR="00F4287C" w:rsidRPr="007C28B0">
        <w:rPr>
          <w:rFonts w:ascii="Arial" w:hAnsi="Arial" w:cs="Arial"/>
          <w:b/>
          <w:sz w:val="20"/>
        </w:rPr>
        <w:t>Editores del Sur</w:t>
      </w:r>
    </w:p>
    <w:p w:rsidR="00F4287C" w:rsidRPr="007C28B0" w:rsidRDefault="00F4287C" w:rsidP="007C28B0">
      <w:pPr>
        <w:spacing w:after="0" w:line="240" w:lineRule="auto"/>
        <w:jc w:val="right"/>
        <w:rPr>
          <w:rFonts w:ascii="Arial" w:hAnsi="Arial" w:cs="Arial"/>
          <w:b/>
          <w:sz w:val="20"/>
        </w:rPr>
      </w:pPr>
      <w:r w:rsidRPr="007C28B0">
        <w:rPr>
          <w:rFonts w:ascii="Arial" w:hAnsi="Arial" w:cs="Arial"/>
          <w:b/>
          <w:sz w:val="20"/>
        </w:rPr>
        <w:t xml:space="preserve">ISBN: 9789874755605  </w:t>
      </w:r>
    </w:p>
    <w:p w:rsidR="00F4287C" w:rsidRPr="007C28B0" w:rsidRDefault="00F4287C" w:rsidP="007C28B0">
      <w:pPr>
        <w:spacing w:after="0" w:line="240" w:lineRule="auto"/>
        <w:jc w:val="right"/>
        <w:rPr>
          <w:b/>
        </w:rPr>
      </w:pPr>
      <w:r w:rsidRPr="007C28B0">
        <w:rPr>
          <w:rFonts w:ascii="Arial" w:hAnsi="Arial" w:cs="Arial"/>
          <w:b/>
          <w:sz w:val="20"/>
        </w:rPr>
        <w:t>Idioma: Español</w:t>
      </w:r>
    </w:p>
    <w:p w:rsidR="00F4287C" w:rsidRDefault="00F4287C" w:rsidP="00F4287C">
      <w:pPr>
        <w:spacing w:after="0" w:line="360" w:lineRule="auto"/>
        <w:jc w:val="right"/>
      </w:pPr>
    </w:p>
    <w:p w:rsidR="00AA505E" w:rsidRDefault="00AA505E" w:rsidP="00AE0E68">
      <w:pPr>
        <w:spacing w:after="0" w:line="360" w:lineRule="auto"/>
        <w:jc w:val="both"/>
      </w:pPr>
    </w:p>
    <w:p w:rsidR="00AA505E" w:rsidRPr="00872AF5" w:rsidRDefault="00AE0E68" w:rsidP="00872AF5">
      <w:pPr>
        <w:spacing w:after="0" w:line="360" w:lineRule="auto"/>
        <w:jc w:val="both"/>
        <w:rPr>
          <w:rFonts w:ascii="Arial" w:hAnsi="Arial" w:cs="Arial"/>
          <w:sz w:val="20"/>
        </w:rPr>
      </w:pPr>
      <w:r>
        <w:tab/>
      </w:r>
      <w:r w:rsidR="00AA505E" w:rsidRPr="00872AF5">
        <w:rPr>
          <w:rFonts w:ascii="Arial" w:hAnsi="Arial" w:cs="Arial"/>
          <w:sz w:val="20"/>
        </w:rPr>
        <w:t>Es una obra colectiva de La Red de Jueces Penales de la Provincia de Buenos Aires, bajo la coordinación de Ricardo S. Favarotto, que contiene un compendio de las Séptimas Jornadas de Actualización para la Magistratura Penal Bonaerense, realizadas en la ciudad de Dolores, el 19 y 20 de agosto de 2022.</w:t>
      </w:r>
    </w:p>
    <w:p w:rsidR="00AA505E" w:rsidRPr="00872AF5" w:rsidRDefault="00AE0E68"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 xml:space="preserve">A título introductorio, Eugenio C. Sarrabayrouse y Amós Arturo Grajales realizan sendos homenajes a la memoria de Julio B. J. Maier y Eduardo N. de </w:t>
      </w:r>
      <w:proofErr w:type="spellStart"/>
      <w:r w:rsidR="00AA505E" w:rsidRPr="00872AF5">
        <w:rPr>
          <w:rFonts w:ascii="Arial" w:hAnsi="Arial" w:cs="Arial"/>
          <w:sz w:val="20"/>
        </w:rPr>
        <w:t>Lázzari</w:t>
      </w:r>
      <w:proofErr w:type="spellEnd"/>
      <w:r w:rsidR="00AA505E" w:rsidRPr="00872AF5">
        <w:rPr>
          <w:rFonts w:ascii="Arial" w:hAnsi="Arial" w:cs="Arial"/>
          <w:sz w:val="20"/>
        </w:rPr>
        <w:t>. Luego, el libro se divide en cinco capítulos, donde se abordan los principales temas de interés para la magistratura y los operadores del fuero penal bonaerense.</w:t>
      </w:r>
    </w:p>
    <w:p w:rsidR="00AA505E" w:rsidRPr="00872AF5" w:rsidRDefault="009153B3"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El primero de esos capítulos es el relativo a la Independencia y responsabilidad de la judicatura, con especial análisis de la remoción de los jueces por el contenido de sus sentencias. Aquí se publican los trabajos de Eduardo P. Jiménez (“Independencia y responsabilidad en la función jurisdiccional: remoción de los jueces por el contenido de sus fallos”), Gabriel H. Di Giulio (“Tensiones a la independencia judicial en el sistema de justicia penal argentino”), Alfonso Santiago (“Responsabilidad de los jueces por el contenido de sus decisiones jurisdiccionales”) y Ricardo S. Favarotto (“Independencia y responsabilidad de la función jurisdiccional”).</w:t>
      </w:r>
    </w:p>
    <w:p w:rsidR="00AA505E" w:rsidRPr="00872AF5" w:rsidRDefault="009153B3" w:rsidP="00872AF5">
      <w:pPr>
        <w:spacing w:after="0" w:line="360" w:lineRule="auto"/>
        <w:jc w:val="both"/>
        <w:rPr>
          <w:rFonts w:ascii="Arial" w:hAnsi="Arial" w:cs="Arial"/>
          <w:sz w:val="20"/>
        </w:rPr>
      </w:pPr>
      <w:r w:rsidRPr="00872AF5">
        <w:rPr>
          <w:rFonts w:ascii="Arial" w:hAnsi="Arial" w:cs="Arial"/>
          <w:sz w:val="20"/>
        </w:rPr>
        <w:lastRenderedPageBreak/>
        <w:tab/>
      </w:r>
      <w:r w:rsidR="00AA505E" w:rsidRPr="00872AF5">
        <w:rPr>
          <w:rFonts w:ascii="Arial" w:hAnsi="Arial" w:cs="Arial"/>
          <w:sz w:val="20"/>
        </w:rPr>
        <w:t xml:space="preserve">El segundo capítulo se refiere a los Aspectos conflictivos de la provincialización del narcomenudeo, incluyendo trabajos de Roberto D. Martínez </w:t>
      </w:r>
      <w:proofErr w:type="spellStart"/>
      <w:r w:rsidR="00AA505E" w:rsidRPr="00872AF5">
        <w:rPr>
          <w:rFonts w:ascii="Arial" w:hAnsi="Arial" w:cs="Arial"/>
          <w:sz w:val="20"/>
        </w:rPr>
        <w:t>Astorino</w:t>
      </w:r>
      <w:proofErr w:type="spellEnd"/>
      <w:r w:rsidR="00AA505E" w:rsidRPr="00872AF5">
        <w:rPr>
          <w:rFonts w:ascii="Arial" w:hAnsi="Arial" w:cs="Arial"/>
          <w:sz w:val="20"/>
        </w:rPr>
        <w:t xml:space="preserve"> (“La </w:t>
      </w:r>
      <w:proofErr w:type="spellStart"/>
      <w:r w:rsidR="00AA505E" w:rsidRPr="00872AF5">
        <w:rPr>
          <w:rFonts w:ascii="Arial" w:hAnsi="Arial" w:cs="Arial"/>
          <w:sz w:val="20"/>
        </w:rPr>
        <w:t>desfederalización</w:t>
      </w:r>
      <w:proofErr w:type="spellEnd"/>
      <w:r w:rsidR="00AA505E" w:rsidRPr="00872AF5">
        <w:rPr>
          <w:rFonts w:ascii="Arial" w:hAnsi="Arial" w:cs="Arial"/>
          <w:sz w:val="20"/>
        </w:rPr>
        <w:t xml:space="preserve"> implantada por ley 26.052, a la ley de estupefacientes. La experiencia de la provincia de Buenos Aires”), y Victoria </w:t>
      </w:r>
      <w:proofErr w:type="spellStart"/>
      <w:r w:rsidR="00AA505E" w:rsidRPr="00872AF5">
        <w:rPr>
          <w:rFonts w:ascii="Arial" w:hAnsi="Arial" w:cs="Arial"/>
          <w:sz w:val="20"/>
        </w:rPr>
        <w:t>Darraidou</w:t>
      </w:r>
      <w:proofErr w:type="spellEnd"/>
      <w:r w:rsidR="00AA505E" w:rsidRPr="00872AF5">
        <w:rPr>
          <w:rFonts w:ascii="Arial" w:hAnsi="Arial" w:cs="Arial"/>
          <w:sz w:val="20"/>
        </w:rPr>
        <w:t xml:space="preserve"> (La experiencia de la </w:t>
      </w:r>
      <w:proofErr w:type="spellStart"/>
      <w:r w:rsidR="00AA505E" w:rsidRPr="00872AF5">
        <w:rPr>
          <w:rFonts w:ascii="Arial" w:hAnsi="Arial" w:cs="Arial"/>
          <w:sz w:val="20"/>
        </w:rPr>
        <w:t>desfederalización</w:t>
      </w:r>
      <w:proofErr w:type="spellEnd"/>
      <w:r w:rsidR="00AA505E" w:rsidRPr="00872AF5">
        <w:rPr>
          <w:rFonts w:ascii="Arial" w:hAnsi="Arial" w:cs="Arial"/>
          <w:sz w:val="20"/>
        </w:rPr>
        <w:t xml:space="preserve"> en la provincia de Buenos Aires como una profundización de la respuesta punitiva estatal”).</w:t>
      </w:r>
    </w:p>
    <w:p w:rsidR="00AA505E" w:rsidRPr="00872AF5" w:rsidRDefault="00332D30"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 xml:space="preserve">El capítulo tres está dedicado al Juicio por jurados bonaerense, donde hay artículos de la autoría de Matías M. </w:t>
      </w:r>
      <w:proofErr w:type="spellStart"/>
      <w:r w:rsidR="00AA505E" w:rsidRPr="00872AF5">
        <w:rPr>
          <w:rFonts w:ascii="Arial" w:hAnsi="Arial" w:cs="Arial"/>
          <w:sz w:val="20"/>
        </w:rPr>
        <w:t>Deane</w:t>
      </w:r>
      <w:proofErr w:type="spellEnd"/>
      <w:r w:rsidR="00AA505E" w:rsidRPr="00872AF5">
        <w:rPr>
          <w:rFonts w:ascii="Arial" w:hAnsi="Arial" w:cs="Arial"/>
          <w:sz w:val="20"/>
        </w:rPr>
        <w:t xml:space="preserve"> (“Reflexiones críticas sobre la implementación del juicio por jurados en la provincia de Buenos Aires”), Nicolás Schiavo (“Los peligros del </w:t>
      </w:r>
      <w:proofErr w:type="spellStart"/>
      <w:r w:rsidR="00AA505E" w:rsidRPr="00872AF5">
        <w:rPr>
          <w:rFonts w:ascii="Arial" w:hAnsi="Arial" w:cs="Arial"/>
          <w:sz w:val="20"/>
        </w:rPr>
        <w:t>comparativismo</w:t>
      </w:r>
      <w:proofErr w:type="spellEnd"/>
      <w:r w:rsidR="00AA505E" w:rsidRPr="00872AF5">
        <w:rPr>
          <w:rFonts w:ascii="Arial" w:hAnsi="Arial" w:cs="Arial"/>
          <w:sz w:val="20"/>
        </w:rPr>
        <w:t xml:space="preserve"> legal. La regla de unanimidad del veredicto del jurado”), José Luis Ares (“Jurado estancado y ne bis in ídem”), y Gustavo A. </w:t>
      </w:r>
      <w:proofErr w:type="spellStart"/>
      <w:r w:rsidR="00AA505E" w:rsidRPr="00872AF5">
        <w:rPr>
          <w:rFonts w:ascii="Arial" w:hAnsi="Arial" w:cs="Arial"/>
          <w:sz w:val="20"/>
        </w:rPr>
        <w:t>Herbel</w:t>
      </w:r>
      <w:proofErr w:type="spellEnd"/>
      <w:r w:rsidR="00AA505E" w:rsidRPr="00872AF5">
        <w:rPr>
          <w:rFonts w:ascii="Arial" w:hAnsi="Arial" w:cs="Arial"/>
          <w:sz w:val="20"/>
        </w:rPr>
        <w:t xml:space="preserve"> (“El alcance del recurso contra el veredicto de culpabilidad del jurado lego”).</w:t>
      </w:r>
    </w:p>
    <w:p w:rsidR="00AA505E" w:rsidRPr="00872AF5" w:rsidRDefault="00332D30" w:rsidP="00872AF5">
      <w:pPr>
        <w:spacing w:after="0" w:line="360" w:lineRule="auto"/>
        <w:jc w:val="both"/>
        <w:rPr>
          <w:rFonts w:ascii="Arial" w:hAnsi="Arial" w:cs="Arial"/>
          <w:sz w:val="20"/>
        </w:rPr>
      </w:pPr>
      <w:r w:rsidRPr="00872AF5">
        <w:rPr>
          <w:rFonts w:ascii="Arial" w:hAnsi="Arial" w:cs="Arial"/>
          <w:sz w:val="20"/>
        </w:rPr>
        <w:tab/>
        <w:t>E</w:t>
      </w:r>
      <w:r w:rsidR="00AA505E" w:rsidRPr="00872AF5">
        <w:rPr>
          <w:rFonts w:ascii="Arial" w:hAnsi="Arial" w:cs="Arial"/>
          <w:sz w:val="20"/>
        </w:rPr>
        <w:t xml:space="preserve">n el cuarto capítulo se estudian y desarrollan las Transformación de la gestión judicial </w:t>
      </w:r>
      <w:proofErr w:type="spellStart"/>
      <w:r w:rsidR="00AA505E" w:rsidRPr="00872AF5">
        <w:rPr>
          <w:rFonts w:ascii="Arial" w:hAnsi="Arial" w:cs="Arial"/>
          <w:sz w:val="20"/>
        </w:rPr>
        <w:t>postpandemia</w:t>
      </w:r>
      <w:proofErr w:type="spellEnd"/>
      <w:r w:rsidR="00AA505E" w:rsidRPr="00872AF5">
        <w:rPr>
          <w:rFonts w:ascii="Arial" w:hAnsi="Arial" w:cs="Arial"/>
          <w:sz w:val="20"/>
        </w:rPr>
        <w:t>, con trabajos a cargo de Jorge Walter López (“Innovaciones de gestión en clave de Derechos Humanos”) y Carolina Granja (“El cauce de la transparencia: entre la publicidad procesal y la legitimidad social”).</w:t>
      </w:r>
    </w:p>
    <w:p w:rsidR="00AA505E" w:rsidRPr="00872AF5" w:rsidRDefault="00332D30"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En el quinto capítulo no sólo se publica la sentencia íntegra dictada en el Caso Báez Sosa, sino que se analizan los aspectos relevantes del mediatizado proceso judicial, en particular del decisorio dictado por el Tribunal en lo Criminal n° 1 de Dolores, con artículos a cargo de Ricardo S. Favarotto (“La peligrosa desnaturalización del juicio previo, a través de los juicios paralelos”), Luciano Bianchi (“Justicia y Estado de Derecho”), Alejandro O. Tazza (“La alevosía y el concurso premeditado. Nociones básicas y diferencias con otros tipos penales”), y Carlos M. González Guerra (“La democratización de la Justicia. El fallo que quería la mayoría por el homicidio de Fernando Báez Sosa”).</w:t>
      </w:r>
    </w:p>
    <w:p w:rsidR="00AA505E" w:rsidRPr="00872AF5" w:rsidRDefault="00332D30"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Por último, la obra incluye un apéndice documental donde se publican los documentos y declaraciones de La Red de Jueces Penales de la Provincia de Buenos Aires en el período 2022 - 2023.</w:t>
      </w:r>
    </w:p>
    <w:p w:rsidR="00FB2395" w:rsidRPr="00872AF5" w:rsidRDefault="00332D30" w:rsidP="00872AF5">
      <w:pPr>
        <w:spacing w:after="0" w:line="360" w:lineRule="auto"/>
        <w:jc w:val="both"/>
        <w:rPr>
          <w:rFonts w:ascii="Arial" w:hAnsi="Arial" w:cs="Arial"/>
          <w:sz w:val="20"/>
        </w:rPr>
      </w:pPr>
      <w:r w:rsidRPr="00872AF5">
        <w:rPr>
          <w:rFonts w:ascii="Arial" w:hAnsi="Arial" w:cs="Arial"/>
          <w:sz w:val="20"/>
        </w:rPr>
        <w:tab/>
      </w:r>
      <w:r w:rsidR="00AA505E" w:rsidRPr="00872AF5">
        <w:rPr>
          <w:rFonts w:ascii="Arial" w:hAnsi="Arial" w:cs="Arial"/>
          <w:sz w:val="20"/>
        </w:rPr>
        <w:t>En síntesis, se trata de la tercera edición de un trabajo colectivo, de 550 páginas, sobre temas de estricta actualidad para el fuero penal, que apunta a ser material de estudio y consulta para todos los operadores jurídicos bonaerenses.</w:t>
      </w:r>
    </w:p>
    <w:sectPr w:rsidR="00FB2395" w:rsidRPr="00872AF5" w:rsidSect="0081715A">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279" w:rsidRDefault="00F20279" w:rsidP="00872AF5">
      <w:pPr>
        <w:spacing w:after="0" w:line="240" w:lineRule="auto"/>
      </w:pPr>
      <w:r>
        <w:separator/>
      </w:r>
    </w:p>
  </w:endnote>
  <w:endnote w:type="continuationSeparator" w:id="0">
    <w:p w:rsidR="00F20279" w:rsidRDefault="00F20279" w:rsidP="00872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A46" w:rsidRDefault="00A54A4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A54A46" w:rsidRDefault="00872AF5" w:rsidP="00872AF5">
    <w:pPr>
      <w:pStyle w:val="Piedepgina"/>
      <w:spacing w:line="360" w:lineRule="auto"/>
      <w:jc w:val="right"/>
      <w:rPr>
        <w:rFonts w:ascii="Cambria" w:hAnsi="Cambria" w:cs="Arial"/>
        <w:sz w:val="20"/>
        <w:szCs w:val="20"/>
      </w:rPr>
    </w:pPr>
    <w:r w:rsidRPr="00A54A46">
      <w:rPr>
        <w:rFonts w:ascii="Cambria" w:hAnsi="Cambria" w:cs="Arial"/>
        <w:sz w:val="20"/>
        <w:szCs w:val="20"/>
      </w:rPr>
      <w:t>Año 5 - Número 10 –julio-diciembre 2023. ISSN: 2525-0620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5A" w:rsidRDefault="0081715A" w:rsidP="00872AF5">
    <w:pPr>
      <w:pStyle w:val="Piedepgina"/>
      <w:spacing w:line="360" w:lineRule="auto"/>
      <w:jc w:val="right"/>
      <w:rPr>
        <w:rFonts w:ascii="Cambria" w:hAnsi="Cambria" w:cs="Arial"/>
        <w:i/>
        <w:sz w:val="20"/>
        <w:szCs w:val="20"/>
      </w:rPr>
    </w:pPr>
  </w:p>
  <w:p w:rsidR="0081715A" w:rsidRDefault="0081715A" w:rsidP="00872AF5">
    <w:pPr>
      <w:pStyle w:val="Piedepgina"/>
      <w:spacing w:line="360" w:lineRule="auto"/>
      <w:jc w:val="right"/>
      <w:rPr>
        <w:rFonts w:ascii="Cambria" w:hAnsi="Cambria" w:cs="Arial"/>
        <w:i/>
        <w:sz w:val="20"/>
        <w:szCs w:val="20"/>
      </w:rPr>
    </w:pPr>
  </w:p>
  <w:p w:rsidR="00872AF5" w:rsidRPr="00A54A46" w:rsidRDefault="00872AF5" w:rsidP="00872AF5">
    <w:pPr>
      <w:pStyle w:val="Piedepgina"/>
      <w:spacing w:line="360" w:lineRule="auto"/>
      <w:jc w:val="right"/>
      <w:rPr>
        <w:rFonts w:ascii="Cambria" w:hAnsi="Cambria" w:cs="Arial"/>
        <w:sz w:val="20"/>
        <w:szCs w:val="20"/>
      </w:rPr>
    </w:pPr>
    <w:r w:rsidRPr="00A54A46">
      <w:rPr>
        <w:rFonts w:ascii="Cambria" w:hAnsi="Cambria" w:cs="Arial"/>
        <w:sz w:val="20"/>
        <w:szCs w:val="20"/>
      </w:rPr>
      <w:t>Año 5 - Número 10 –julio-diciembre 2023. ISS</w:t>
    </w:r>
    <w:bookmarkStart w:id="0" w:name="_GoBack"/>
    <w:bookmarkEnd w:id="0"/>
    <w:r w:rsidRPr="00A54A46">
      <w:rPr>
        <w:rFonts w:ascii="Cambria" w:hAnsi="Cambria" w:cs="Arial"/>
        <w:sz w:val="20"/>
        <w:szCs w:val="20"/>
      </w:rPr>
      <w:t>N: 2525-0620</w:t>
    </w:r>
  </w:p>
  <w:p w:rsidR="00872AF5" w:rsidRPr="00872AF5" w:rsidRDefault="00872AF5" w:rsidP="00872AF5">
    <w:pPr>
      <w:pStyle w:val="Piedepgina"/>
      <w:spacing w:line="360" w:lineRule="auto"/>
      <w:jc w:val="right"/>
      <w:rPr>
        <w:rFonts w:ascii="Cambria" w:hAnsi="Cambria" w:cs="Arial"/>
        <w:i/>
        <w:sz w:val="20"/>
        <w:szCs w:val="20"/>
      </w:rPr>
    </w:pPr>
    <w:r>
      <w:rPr>
        <w:noProof/>
        <w:bdr w:val="none" w:sz="0" w:space="0" w:color="auto" w:frame="1"/>
        <w:lang w:eastAsia="es-AR"/>
      </w:rPr>
      <w:drawing>
        <wp:inline distT="0" distB="0" distL="0" distR="0" wp14:anchorId="66A1A8D2" wp14:editId="62D6751A">
          <wp:extent cx="762000" cy="266700"/>
          <wp:effectExtent l="0" t="0" r="0" b="0"/>
          <wp:docPr id="2" name="Imagen 2" descr="D:\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279" w:rsidRDefault="00F20279" w:rsidP="00872AF5">
      <w:pPr>
        <w:spacing w:after="0" w:line="240" w:lineRule="auto"/>
      </w:pPr>
      <w:r>
        <w:separator/>
      </w:r>
    </w:p>
  </w:footnote>
  <w:footnote w:type="continuationSeparator" w:id="0">
    <w:p w:rsidR="00F20279" w:rsidRDefault="00F20279" w:rsidP="00872AF5">
      <w:pPr>
        <w:spacing w:after="0" w:line="240" w:lineRule="auto"/>
      </w:pPr>
      <w:r>
        <w:continuationSeparator/>
      </w:r>
    </w:p>
  </w:footnote>
  <w:footnote w:id="1">
    <w:p w:rsidR="004B1F6B" w:rsidRPr="004B1F6B" w:rsidRDefault="004B1F6B" w:rsidP="004B1F6B">
      <w:pPr>
        <w:pStyle w:val="NormalWeb"/>
        <w:shd w:val="clear" w:color="auto" w:fill="FFFFFF"/>
        <w:spacing w:before="240" w:beforeAutospacing="0" w:after="0" w:afterAutospacing="0"/>
        <w:rPr>
          <w:rFonts w:ascii="Arial" w:hAnsi="Arial" w:cs="Arial"/>
          <w:color w:val="333333"/>
          <w:sz w:val="18"/>
          <w:szCs w:val="18"/>
        </w:rPr>
      </w:pPr>
      <w:r>
        <w:rPr>
          <w:rStyle w:val="Refdenotaalpie"/>
        </w:rPr>
        <w:footnoteRef/>
      </w:r>
      <w:r>
        <w:t xml:space="preserve"> </w:t>
      </w:r>
      <w:r w:rsidRPr="004B1F6B">
        <w:rPr>
          <w:rFonts w:ascii="Arial" w:hAnsi="Arial" w:cs="Arial"/>
          <w:color w:val="333333"/>
          <w:sz w:val="18"/>
          <w:szCs w:val="18"/>
        </w:rPr>
        <w:t xml:space="preserve"> Ex Juez d</w:t>
      </w:r>
      <w:r>
        <w:rPr>
          <w:rFonts w:ascii="Arial" w:hAnsi="Arial" w:cs="Arial"/>
          <w:color w:val="333333"/>
          <w:sz w:val="18"/>
          <w:szCs w:val="18"/>
        </w:rPr>
        <w:t>e la Cámara de Apelaciones.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A46" w:rsidRDefault="00A54A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A54A46" w:rsidRDefault="00872AF5" w:rsidP="00872AF5">
    <w:pPr>
      <w:pStyle w:val="Encabezado"/>
      <w:pBdr>
        <w:bottom w:val="single" w:sz="6" w:space="1" w:color="auto"/>
      </w:pBdr>
      <w:jc w:val="right"/>
      <w:rPr>
        <w:rFonts w:ascii="Cambria" w:hAnsi="Cambria" w:cs="Arial"/>
        <w:sz w:val="20"/>
        <w:szCs w:val="20"/>
      </w:rPr>
    </w:pPr>
    <w:r w:rsidRPr="00A54A46">
      <w:rPr>
        <w:rFonts w:ascii="Cambria" w:hAnsi="Cambria" w:cs="Arial"/>
        <w:sz w:val="20"/>
        <w:szCs w:val="20"/>
      </w:rPr>
      <w:t>Revista Nueva Crítica Penal</w:t>
    </w:r>
  </w:p>
  <w:p w:rsidR="00872AF5" w:rsidRDefault="00872AF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A54A46" w:rsidRDefault="00872AF5" w:rsidP="00872AF5">
    <w:pPr>
      <w:pStyle w:val="Encabezado"/>
      <w:pBdr>
        <w:bottom w:val="single" w:sz="6" w:space="1" w:color="auto"/>
      </w:pBdr>
      <w:jc w:val="right"/>
      <w:rPr>
        <w:rFonts w:ascii="Cambria" w:hAnsi="Cambria" w:cs="Arial"/>
        <w:sz w:val="20"/>
        <w:szCs w:val="20"/>
      </w:rPr>
    </w:pPr>
    <w:r w:rsidRPr="00A54A46">
      <w:rPr>
        <w:rFonts w:ascii="Cambria" w:hAnsi="Cambria" w:cs="Arial"/>
        <w:sz w:val="20"/>
        <w:szCs w:val="20"/>
      </w:rPr>
      <w:t>Revista Nueva Crítica Penal</w:t>
    </w:r>
  </w:p>
  <w:p w:rsidR="00872AF5" w:rsidRDefault="00872AF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71"/>
    <w:rsid w:val="001379F1"/>
    <w:rsid w:val="00285668"/>
    <w:rsid w:val="002C634B"/>
    <w:rsid w:val="00332D30"/>
    <w:rsid w:val="0039304F"/>
    <w:rsid w:val="00414BCD"/>
    <w:rsid w:val="0049145C"/>
    <w:rsid w:val="004B1F6B"/>
    <w:rsid w:val="004B3871"/>
    <w:rsid w:val="00510622"/>
    <w:rsid w:val="006B6AA0"/>
    <w:rsid w:val="007C28B0"/>
    <w:rsid w:val="007C5829"/>
    <w:rsid w:val="0081715A"/>
    <w:rsid w:val="00872AF5"/>
    <w:rsid w:val="008800E2"/>
    <w:rsid w:val="009153B3"/>
    <w:rsid w:val="00A54A46"/>
    <w:rsid w:val="00AA505E"/>
    <w:rsid w:val="00AE0E68"/>
    <w:rsid w:val="00B34300"/>
    <w:rsid w:val="00B70E43"/>
    <w:rsid w:val="00C229CB"/>
    <w:rsid w:val="00C86962"/>
    <w:rsid w:val="00D32E9F"/>
    <w:rsid w:val="00D96C45"/>
    <w:rsid w:val="00E57496"/>
    <w:rsid w:val="00E805D1"/>
    <w:rsid w:val="00EC4DFD"/>
    <w:rsid w:val="00F20279"/>
    <w:rsid w:val="00F37E5B"/>
    <w:rsid w:val="00F4287C"/>
    <w:rsid w:val="00FB2395"/>
    <w:rsid w:val="00FB2B8C"/>
    <w:rsid w:val="00FB2E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72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AF5"/>
  </w:style>
  <w:style w:type="paragraph" w:styleId="Piedepgina">
    <w:name w:val="footer"/>
    <w:basedOn w:val="Normal"/>
    <w:link w:val="PiedepginaCar"/>
    <w:uiPriority w:val="99"/>
    <w:unhideWhenUsed/>
    <w:rsid w:val="00872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AF5"/>
  </w:style>
  <w:style w:type="paragraph" w:styleId="Textodeglobo">
    <w:name w:val="Balloon Text"/>
    <w:basedOn w:val="Normal"/>
    <w:link w:val="TextodegloboCar"/>
    <w:uiPriority w:val="99"/>
    <w:semiHidden/>
    <w:unhideWhenUsed/>
    <w:rsid w:val="008171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15A"/>
    <w:rPr>
      <w:rFonts w:ascii="Tahoma" w:hAnsi="Tahoma" w:cs="Tahoma"/>
      <w:sz w:val="16"/>
      <w:szCs w:val="16"/>
    </w:rPr>
  </w:style>
  <w:style w:type="paragraph" w:styleId="Textonotapie">
    <w:name w:val="footnote text"/>
    <w:basedOn w:val="Normal"/>
    <w:link w:val="TextonotapieCar"/>
    <w:uiPriority w:val="99"/>
    <w:semiHidden/>
    <w:unhideWhenUsed/>
    <w:rsid w:val="004B1F6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1F6B"/>
    <w:rPr>
      <w:sz w:val="20"/>
      <w:szCs w:val="20"/>
    </w:rPr>
  </w:style>
  <w:style w:type="character" w:styleId="Refdenotaalpie">
    <w:name w:val="footnote reference"/>
    <w:basedOn w:val="Fuentedeprrafopredeter"/>
    <w:uiPriority w:val="99"/>
    <w:semiHidden/>
    <w:unhideWhenUsed/>
    <w:rsid w:val="004B1F6B"/>
    <w:rPr>
      <w:vertAlign w:val="superscript"/>
    </w:rPr>
  </w:style>
  <w:style w:type="paragraph" w:styleId="NormalWeb">
    <w:name w:val="Normal (Web)"/>
    <w:basedOn w:val="Normal"/>
    <w:uiPriority w:val="99"/>
    <w:unhideWhenUsed/>
    <w:rsid w:val="004B1F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414BC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72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AF5"/>
  </w:style>
  <w:style w:type="paragraph" w:styleId="Piedepgina">
    <w:name w:val="footer"/>
    <w:basedOn w:val="Normal"/>
    <w:link w:val="PiedepginaCar"/>
    <w:uiPriority w:val="99"/>
    <w:unhideWhenUsed/>
    <w:rsid w:val="00872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AF5"/>
  </w:style>
  <w:style w:type="paragraph" w:styleId="Textodeglobo">
    <w:name w:val="Balloon Text"/>
    <w:basedOn w:val="Normal"/>
    <w:link w:val="TextodegloboCar"/>
    <w:uiPriority w:val="99"/>
    <w:semiHidden/>
    <w:unhideWhenUsed/>
    <w:rsid w:val="008171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15A"/>
    <w:rPr>
      <w:rFonts w:ascii="Tahoma" w:hAnsi="Tahoma" w:cs="Tahoma"/>
      <w:sz w:val="16"/>
      <w:szCs w:val="16"/>
    </w:rPr>
  </w:style>
  <w:style w:type="paragraph" w:styleId="Textonotapie">
    <w:name w:val="footnote text"/>
    <w:basedOn w:val="Normal"/>
    <w:link w:val="TextonotapieCar"/>
    <w:uiPriority w:val="99"/>
    <w:semiHidden/>
    <w:unhideWhenUsed/>
    <w:rsid w:val="004B1F6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1F6B"/>
    <w:rPr>
      <w:sz w:val="20"/>
      <w:szCs w:val="20"/>
    </w:rPr>
  </w:style>
  <w:style w:type="character" w:styleId="Refdenotaalpie">
    <w:name w:val="footnote reference"/>
    <w:basedOn w:val="Fuentedeprrafopredeter"/>
    <w:uiPriority w:val="99"/>
    <w:semiHidden/>
    <w:unhideWhenUsed/>
    <w:rsid w:val="004B1F6B"/>
    <w:rPr>
      <w:vertAlign w:val="superscript"/>
    </w:rPr>
  </w:style>
  <w:style w:type="paragraph" w:styleId="NormalWeb">
    <w:name w:val="Normal (Web)"/>
    <w:basedOn w:val="Normal"/>
    <w:uiPriority w:val="99"/>
    <w:unhideWhenUsed/>
    <w:rsid w:val="004B1F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41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87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39CD1-A7FC-45E7-8EF5-724FE1010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3384</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Presentación y comentario a ¨El sistema penal bonaerense III, coordinado por Ricardo S. Favarotto (Editores del Sur)</vt:lpstr>
    </vt:vector>
  </TitlesOfParts>
  <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y comentario a ¨El sistema penal bonaerense III, coordinado por Ricardo S. Favarotto (Editores del Sur)</dc:title>
  <dc:creator>Favarotto Ricardo</dc:creator>
  <cp:lastModifiedBy>Michi K</cp:lastModifiedBy>
  <cp:revision>2</cp:revision>
  <dcterms:created xsi:type="dcterms:W3CDTF">2023-12-14T20:15:00Z</dcterms:created>
  <dcterms:modified xsi:type="dcterms:W3CDTF">2023-12-14T20:15:00Z</dcterms:modified>
</cp:coreProperties>
</file>