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61B3" w14:textId="20F85D64" w:rsidR="00F75B31" w:rsidRDefault="00CB72B0">
      <w:pPr>
        <w:pStyle w:val="Ttulo1"/>
      </w:pPr>
      <w:bookmarkStart w:id="0" w:name="_heading=h.ee5xn4yg1ix1" w:colFirst="0" w:colLast="0"/>
      <w:bookmarkEnd w:id="0"/>
      <w:r>
        <w:t>¿</w:t>
      </w:r>
      <w:r w:rsidR="003B6350">
        <w:t>Qué implica hacer una Justicia especializada en Niños, Niñas y Adolescentes</w:t>
      </w:r>
      <w:r>
        <w:t>?</w:t>
      </w:r>
      <w:r w:rsidR="003B6350">
        <w:t xml:space="preserve"> Su impacto en las políticas de persecución de las drogas</w:t>
      </w:r>
    </w:p>
    <w:p w14:paraId="5D210E5B" w14:textId="77777777" w:rsidR="00F75B31" w:rsidRDefault="00F75B31">
      <w:pPr>
        <w:shd w:val="clear" w:color="auto" w:fill="FFFFFF"/>
        <w:spacing w:after="0" w:line="360" w:lineRule="auto"/>
        <w:rPr>
          <w:rFonts w:ascii="Arial" w:eastAsia="Arial" w:hAnsi="Arial" w:cs="Arial"/>
          <w:b/>
          <w:i/>
          <w:sz w:val="20"/>
          <w:szCs w:val="20"/>
        </w:rPr>
      </w:pPr>
    </w:p>
    <w:p w14:paraId="5830B357" w14:textId="77777777" w:rsidR="00F75B31" w:rsidRDefault="003B6350">
      <w:pPr>
        <w:shd w:val="clear" w:color="auto" w:fill="FFFFFF"/>
        <w:spacing w:after="0" w:line="360" w:lineRule="auto"/>
        <w:jc w:val="center"/>
        <w:rPr>
          <w:rFonts w:ascii="Arial" w:eastAsia="Arial" w:hAnsi="Arial" w:cs="Arial"/>
          <w:i/>
          <w:sz w:val="21"/>
          <w:szCs w:val="21"/>
        </w:rPr>
      </w:pPr>
      <w:r>
        <w:rPr>
          <w:rFonts w:ascii="Arial" w:eastAsia="Arial" w:hAnsi="Arial" w:cs="Arial"/>
          <w:i/>
          <w:sz w:val="21"/>
          <w:szCs w:val="21"/>
        </w:rPr>
        <w:t>Federico Adler</w:t>
      </w:r>
      <w:r>
        <w:rPr>
          <w:rFonts w:ascii="Arial" w:eastAsia="Arial" w:hAnsi="Arial" w:cs="Arial"/>
          <w:i/>
          <w:sz w:val="21"/>
          <w:szCs w:val="21"/>
          <w:vertAlign w:val="superscript"/>
        </w:rPr>
        <w:footnoteReference w:id="1"/>
      </w:r>
    </w:p>
    <w:p w14:paraId="5F5CFB3A" w14:textId="77777777" w:rsidR="00F75B31" w:rsidRDefault="003B6350">
      <w:pPr>
        <w:shd w:val="clear" w:color="auto" w:fill="FFFFFF"/>
        <w:spacing w:after="0" w:line="360" w:lineRule="auto"/>
        <w:jc w:val="center"/>
        <w:rPr>
          <w:rFonts w:ascii="Arial" w:eastAsia="Arial" w:hAnsi="Arial" w:cs="Arial"/>
          <w:sz w:val="20"/>
          <w:szCs w:val="20"/>
        </w:rPr>
      </w:pPr>
      <w:r>
        <w:rPr>
          <w:rFonts w:ascii="Arial" w:eastAsia="Arial" w:hAnsi="Arial" w:cs="Arial"/>
          <w:sz w:val="20"/>
          <w:szCs w:val="20"/>
        </w:rPr>
        <w:t>Universidad Nacional de Mar del Plata, Argentina</w:t>
      </w:r>
    </w:p>
    <w:p w14:paraId="0D1ECC1F" w14:textId="77777777" w:rsidR="00F75B31" w:rsidRDefault="00F75B31">
      <w:pPr>
        <w:shd w:val="clear" w:color="auto" w:fill="FFFFFF"/>
        <w:spacing w:after="0" w:line="360" w:lineRule="auto"/>
        <w:jc w:val="center"/>
        <w:rPr>
          <w:rFonts w:ascii="Arial" w:eastAsia="Arial" w:hAnsi="Arial" w:cs="Arial"/>
          <w:sz w:val="20"/>
          <w:szCs w:val="20"/>
        </w:rPr>
      </w:pPr>
    </w:p>
    <w:p w14:paraId="718971E3" w14:textId="77777777" w:rsidR="00F75B31" w:rsidRDefault="003B6350">
      <w:pPr>
        <w:shd w:val="clear" w:color="auto" w:fill="FFFFFF"/>
        <w:spacing w:after="0" w:line="360" w:lineRule="auto"/>
        <w:jc w:val="center"/>
        <w:rPr>
          <w:rFonts w:ascii="Arial" w:eastAsia="Arial" w:hAnsi="Arial" w:cs="Arial"/>
          <w:i/>
          <w:sz w:val="20"/>
          <w:szCs w:val="20"/>
        </w:rPr>
      </w:pPr>
      <w:r>
        <w:rPr>
          <w:rFonts w:ascii="Arial" w:eastAsia="Arial" w:hAnsi="Arial" w:cs="Arial"/>
          <w:i/>
          <w:sz w:val="20"/>
          <w:szCs w:val="20"/>
        </w:rPr>
        <w:t>Fecha de remisión: 12/12/2024</w:t>
      </w:r>
    </w:p>
    <w:p w14:paraId="40E30D3F" w14:textId="77777777" w:rsidR="00F75B31" w:rsidRDefault="003B6350">
      <w:pPr>
        <w:shd w:val="clear" w:color="auto" w:fill="FFFFFF"/>
        <w:spacing w:after="0" w:line="360" w:lineRule="auto"/>
        <w:jc w:val="center"/>
        <w:rPr>
          <w:rFonts w:ascii="Arial" w:eastAsia="Arial" w:hAnsi="Arial" w:cs="Arial"/>
          <w:i/>
          <w:sz w:val="20"/>
          <w:szCs w:val="20"/>
        </w:rPr>
      </w:pPr>
      <w:r>
        <w:rPr>
          <w:rFonts w:ascii="Arial" w:eastAsia="Arial" w:hAnsi="Arial" w:cs="Arial"/>
          <w:i/>
          <w:sz w:val="20"/>
          <w:szCs w:val="20"/>
        </w:rPr>
        <w:t>Fecha de aceptación: 03/04/2025</w:t>
      </w:r>
    </w:p>
    <w:p w14:paraId="6180066C" w14:textId="77777777" w:rsidR="00F75B31" w:rsidRDefault="00F75B31">
      <w:pPr>
        <w:shd w:val="clear" w:color="auto" w:fill="FFFFFF"/>
        <w:spacing w:after="0" w:line="360" w:lineRule="auto"/>
        <w:jc w:val="center"/>
        <w:rPr>
          <w:rFonts w:ascii="Arial" w:eastAsia="Arial" w:hAnsi="Arial" w:cs="Arial"/>
          <w:i/>
          <w:sz w:val="20"/>
          <w:szCs w:val="20"/>
        </w:rPr>
      </w:pPr>
    </w:p>
    <w:p w14:paraId="07834397" w14:textId="77777777" w:rsidR="00F75B31" w:rsidRDefault="00F75B31">
      <w:pPr>
        <w:shd w:val="clear" w:color="auto" w:fill="FFFFFF"/>
        <w:spacing w:after="0" w:line="360" w:lineRule="auto"/>
        <w:rPr>
          <w:rFonts w:ascii="Arial" w:eastAsia="Arial" w:hAnsi="Arial" w:cs="Arial"/>
          <w:b/>
          <w:sz w:val="20"/>
          <w:szCs w:val="20"/>
          <w:u w:val="single"/>
        </w:rPr>
      </w:pPr>
    </w:p>
    <w:p w14:paraId="51C4AFFA" w14:textId="77777777" w:rsidR="00F75B31" w:rsidRDefault="003B6350">
      <w:pPr>
        <w:shd w:val="clear" w:color="auto" w:fill="FFFFFF"/>
        <w:spacing w:after="0" w:line="360" w:lineRule="auto"/>
        <w:rPr>
          <w:rFonts w:ascii="Arial" w:eastAsia="Arial" w:hAnsi="Arial" w:cs="Arial"/>
          <w:b/>
          <w:sz w:val="20"/>
          <w:szCs w:val="20"/>
        </w:rPr>
      </w:pPr>
      <w:r>
        <w:rPr>
          <w:rFonts w:ascii="Arial" w:eastAsia="Arial" w:hAnsi="Arial" w:cs="Arial"/>
          <w:b/>
          <w:sz w:val="20"/>
          <w:szCs w:val="20"/>
        </w:rPr>
        <w:t>Resumen</w:t>
      </w:r>
    </w:p>
    <w:p w14:paraId="019FE589" w14:textId="77777777" w:rsidR="00F75B31" w:rsidRDefault="003B6350">
      <w:pPr>
        <w:shd w:val="clear" w:color="auto" w:fill="FFFFFF"/>
        <w:spacing w:after="0" w:line="360" w:lineRule="auto"/>
        <w:jc w:val="both"/>
        <w:rPr>
          <w:rFonts w:ascii="Arial" w:eastAsia="Arial" w:hAnsi="Arial" w:cs="Arial"/>
          <w:sz w:val="20"/>
          <w:szCs w:val="20"/>
        </w:rPr>
      </w:pPr>
      <w:r>
        <w:rPr>
          <w:rFonts w:ascii="Arial" w:eastAsia="Arial" w:hAnsi="Arial" w:cs="Arial"/>
          <w:sz w:val="20"/>
          <w:szCs w:val="20"/>
        </w:rPr>
        <w:t xml:space="preserve">En este trabajo se busca demostrar que en el caso de Mar del Plata el paso del sistema tutelar al paradigma del enfoque de derechos, si bien ha traído consigo una serie de avances sustantivos, ha provocado una invisibilización del rol y competencia del Fuero Penal Juvenil respecto a su intervención relativa al abordaje de los problemas sociales subyacentes que dieron origen a las problemáticas penales. Fundamentando en la Convención de los Derechos del Niño y en normativa </w:t>
      </w:r>
      <w:proofErr w:type="spellStart"/>
      <w:r>
        <w:rPr>
          <w:rFonts w:ascii="Arial" w:eastAsia="Arial" w:hAnsi="Arial" w:cs="Arial"/>
          <w:sz w:val="20"/>
          <w:szCs w:val="20"/>
        </w:rPr>
        <w:t>infra-constitucional</w:t>
      </w:r>
      <w:proofErr w:type="spellEnd"/>
      <w:r>
        <w:rPr>
          <w:rFonts w:ascii="Arial" w:eastAsia="Arial" w:hAnsi="Arial" w:cs="Arial"/>
          <w:sz w:val="20"/>
          <w:szCs w:val="20"/>
        </w:rPr>
        <w:t xml:space="preserve"> el deber de los operadores del Fuero a este respecto, como parte de la especialización, se da cuenta de una serie de buenas prácticas en materia de personas adolescentes no punibles imputadas, como respecto de aquellas otras perseguidas penalmente por delitos de drogas. Se propone, finalmente, la intervención del Fuero especializado en infancias como un sistema alternativo y sustancialmente diverso al sistema penal de adultos, a partir de las premisas de solución real de los conflictos sociales, perspectiva de territorialidad, justicia restaurativa, prevención vincular, desburocratización, interdisciplina, empatía, sensibilidad y cercanía a las víctimas como a las personas imputadas.</w:t>
      </w:r>
    </w:p>
    <w:p w14:paraId="6E3578D5" w14:textId="77777777" w:rsidR="00F75B31" w:rsidRDefault="00F75B31">
      <w:pPr>
        <w:shd w:val="clear" w:color="auto" w:fill="FFFFFF"/>
        <w:spacing w:after="0" w:line="360" w:lineRule="auto"/>
        <w:jc w:val="both"/>
        <w:rPr>
          <w:rFonts w:ascii="Arial" w:eastAsia="Arial" w:hAnsi="Arial" w:cs="Arial"/>
          <w:sz w:val="20"/>
          <w:szCs w:val="20"/>
        </w:rPr>
      </w:pPr>
    </w:p>
    <w:p w14:paraId="146968D6" w14:textId="77777777" w:rsidR="00F75B31" w:rsidRDefault="003B6350">
      <w:pPr>
        <w:shd w:val="clear" w:color="auto" w:fill="FFFFFF"/>
        <w:spacing w:after="0" w:line="360" w:lineRule="auto"/>
        <w:jc w:val="both"/>
        <w:rPr>
          <w:rFonts w:ascii="Arial" w:eastAsia="Arial" w:hAnsi="Arial" w:cs="Arial"/>
          <w:sz w:val="20"/>
          <w:szCs w:val="20"/>
        </w:rPr>
      </w:pPr>
      <w:r>
        <w:rPr>
          <w:rFonts w:ascii="Arial" w:eastAsia="Arial" w:hAnsi="Arial" w:cs="Arial"/>
          <w:b/>
          <w:sz w:val="20"/>
          <w:szCs w:val="20"/>
        </w:rPr>
        <w:t>Palabras Clave</w:t>
      </w:r>
    </w:p>
    <w:p w14:paraId="2AE79683" w14:textId="77777777" w:rsidR="00F75B31" w:rsidRDefault="003B6350">
      <w:pPr>
        <w:shd w:val="clear" w:color="auto" w:fill="FFFFFF"/>
        <w:spacing w:after="0" w:line="360" w:lineRule="auto"/>
        <w:jc w:val="both"/>
        <w:rPr>
          <w:rFonts w:ascii="Arial" w:eastAsia="Arial" w:hAnsi="Arial" w:cs="Arial"/>
          <w:sz w:val="20"/>
          <w:szCs w:val="20"/>
        </w:rPr>
      </w:pPr>
      <w:r>
        <w:rPr>
          <w:rFonts w:ascii="Arial" w:eastAsia="Arial" w:hAnsi="Arial" w:cs="Arial"/>
          <w:sz w:val="20"/>
          <w:szCs w:val="20"/>
        </w:rPr>
        <w:t>Justicia Penal Juvenil - Justicia restaurativa - delitos de drogas – enfoque de derechos</w:t>
      </w:r>
    </w:p>
    <w:p w14:paraId="1185DEFB" w14:textId="77777777" w:rsidR="00F75B31" w:rsidRDefault="00F75B31">
      <w:pPr>
        <w:shd w:val="clear" w:color="auto" w:fill="FFFFFF"/>
        <w:spacing w:after="0" w:line="360" w:lineRule="auto"/>
        <w:jc w:val="both"/>
        <w:rPr>
          <w:rFonts w:ascii="Arial" w:eastAsia="Arial" w:hAnsi="Arial" w:cs="Arial"/>
          <w:sz w:val="20"/>
          <w:szCs w:val="20"/>
        </w:rPr>
      </w:pPr>
    </w:p>
    <w:p w14:paraId="57C81049" w14:textId="77777777" w:rsidR="00F75B31" w:rsidRPr="00FF2AE5" w:rsidRDefault="003B6350">
      <w:pPr>
        <w:shd w:val="clear" w:color="auto" w:fill="FFFFFF"/>
        <w:spacing w:after="0" w:line="360" w:lineRule="auto"/>
        <w:jc w:val="both"/>
        <w:rPr>
          <w:rFonts w:ascii="Arial" w:eastAsia="Arial" w:hAnsi="Arial" w:cs="Arial"/>
          <w:b/>
          <w:i/>
          <w:sz w:val="20"/>
          <w:szCs w:val="20"/>
          <w:lang w:val="en-US"/>
        </w:rPr>
      </w:pPr>
      <w:r w:rsidRPr="00FF2AE5">
        <w:rPr>
          <w:rFonts w:ascii="Arial" w:eastAsia="Arial" w:hAnsi="Arial" w:cs="Arial"/>
          <w:b/>
          <w:i/>
          <w:sz w:val="20"/>
          <w:szCs w:val="20"/>
          <w:lang w:val="en-US"/>
        </w:rPr>
        <w:t>Abstract.</w:t>
      </w:r>
    </w:p>
    <w:p w14:paraId="312596D7" w14:textId="77777777" w:rsidR="00F75B31" w:rsidRPr="00FF2AE5" w:rsidRDefault="003B6350">
      <w:pPr>
        <w:shd w:val="clear" w:color="auto" w:fill="FFFFFF"/>
        <w:spacing w:after="0" w:line="360" w:lineRule="auto"/>
        <w:jc w:val="both"/>
        <w:rPr>
          <w:rFonts w:ascii="Arial" w:eastAsia="Arial" w:hAnsi="Arial" w:cs="Arial"/>
          <w:i/>
          <w:sz w:val="20"/>
          <w:szCs w:val="20"/>
          <w:lang w:val="en-US"/>
        </w:rPr>
      </w:pPr>
      <w:bookmarkStart w:id="1" w:name="_heading=h.e6upqmwxuup0" w:colFirst="0" w:colLast="0"/>
      <w:bookmarkEnd w:id="1"/>
      <w:r w:rsidRPr="00FF2AE5">
        <w:rPr>
          <w:rFonts w:ascii="Arial" w:eastAsia="Arial" w:hAnsi="Arial" w:cs="Arial"/>
          <w:i/>
          <w:sz w:val="20"/>
          <w:szCs w:val="20"/>
          <w:lang w:val="en-US"/>
        </w:rPr>
        <w:t xml:space="preserve">This paper seeks to demonstrate that in the case of Mar del Plata the transition from a tutelary system to a rights-based approach made invisible the role of the Juvenile Criminal Court respect the social problems that gave rise to the criminal issues. The Court's duty in this regard </w:t>
      </w:r>
      <w:proofErr w:type="gramStart"/>
      <w:r w:rsidRPr="00FF2AE5">
        <w:rPr>
          <w:rFonts w:ascii="Arial" w:eastAsia="Arial" w:hAnsi="Arial" w:cs="Arial"/>
          <w:i/>
          <w:sz w:val="20"/>
          <w:szCs w:val="20"/>
          <w:lang w:val="en-US"/>
        </w:rPr>
        <w:t>are</w:t>
      </w:r>
      <w:proofErr w:type="gramEnd"/>
      <w:r w:rsidRPr="00FF2AE5">
        <w:rPr>
          <w:rFonts w:ascii="Arial" w:eastAsia="Arial" w:hAnsi="Arial" w:cs="Arial"/>
          <w:i/>
          <w:sz w:val="20"/>
          <w:szCs w:val="20"/>
          <w:lang w:val="en-US"/>
        </w:rPr>
        <w:t xml:space="preserve"> founded in the Convention on the Rights of the Child and in sub-constitutional regulations. After that, I highlight a series of good practices that tends to do guarantee the specialization in cases of adolescents under the age of </w:t>
      </w:r>
      <w:proofErr w:type="spellStart"/>
      <w:r w:rsidRPr="00FF2AE5">
        <w:rPr>
          <w:rFonts w:ascii="Arial" w:eastAsia="Arial" w:hAnsi="Arial" w:cs="Arial"/>
          <w:i/>
          <w:sz w:val="20"/>
          <w:szCs w:val="20"/>
          <w:lang w:val="en-US"/>
        </w:rPr>
        <w:t>punishability</w:t>
      </w:r>
      <w:proofErr w:type="spellEnd"/>
      <w:r w:rsidRPr="00FF2AE5">
        <w:rPr>
          <w:rFonts w:ascii="Arial" w:eastAsia="Arial" w:hAnsi="Arial" w:cs="Arial"/>
          <w:i/>
          <w:sz w:val="20"/>
          <w:szCs w:val="20"/>
          <w:lang w:val="en-US"/>
        </w:rPr>
        <w:t xml:space="preserve"> and in cases of those prosecuted for drug offenses. Finally, I propose the intervention of Juvenile Criminal Courts as an alternative to the ordinary criminal justice system, based on the premises of a real solution to social conflicts, a territorial perspective, restorative justice, bonding prevention, </w:t>
      </w:r>
      <w:proofErr w:type="spellStart"/>
      <w:r w:rsidRPr="00FF2AE5">
        <w:rPr>
          <w:rFonts w:ascii="Arial" w:eastAsia="Arial" w:hAnsi="Arial" w:cs="Arial"/>
          <w:i/>
          <w:sz w:val="20"/>
          <w:szCs w:val="20"/>
          <w:lang w:val="en-US"/>
        </w:rPr>
        <w:t>debureaucratization</w:t>
      </w:r>
      <w:proofErr w:type="spellEnd"/>
      <w:r w:rsidRPr="00FF2AE5">
        <w:rPr>
          <w:rFonts w:ascii="Arial" w:eastAsia="Arial" w:hAnsi="Arial" w:cs="Arial"/>
          <w:i/>
          <w:sz w:val="20"/>
          <w:szCs w:val="20"/>
          <w:lang w:val="en-US"/>
        </w:rPr>
        <w:t>, interdisciplinary, empathy, sensitivity, and closeness to both victims and defendants.</w:t>
      </w:r>
    </w:p>
    <w:p w14:paraId="0A18732D" w14:textId="77777777" w:rsidR="00F75B31" w:rsidRPr="00FF2AE5" w:rsidRDefault="00F75B31">
      <w:pPr>
        <w:shd w:val="clear" w:color="auto" w:fill="FFFFFF"/>
        <w:spacing w:after="0" w:line="360" w:lineRule="auto"/>
        <w:jc w:val="both"/>
        <w:rPr>
          <w:rFonts w:ascii="Arial" w:eastAsia="Arial" w:hAnsi="Arial" w:cs="Arial"/>
          <w:b/>
          <w:i/>
          <w:sz w:val="20"/>
          <w:szCs w:val="20"/>
          <w:lang w:val="en-US"/>
        </w:rPr>
      </w:pPr>
    </w:p>
    <w:p w14:paraId="67073A3F" w14:textId="77777777" w:rsidR="00F75B31" w:rsidRPr="00FF2AE5" w:rsidRDefault="003B6350">
      <w:pPr>
        <w:shd w:val="clear" w:color="auto" w:fill="FFFFFF"/>
        <w:spacing w:after="0" w:line="360" w:lineRule="auto"/>
        <w:jc w:val="both"/>
        <w:rPr>
          <w:rFonts w:ascii="Arial" w:eastAsia="Arial" w:hAnsi="Arial" w:cs="Arial"/>
          <w:b/>
          <w:i/>
          <w:sz w:val="20"/>
          <w:szCs w:val="20"/>
          <w:lang w:val="en-US"/>
        </w:rPr>
      </w:pPr>
      <w:r w:rsidRPr="00FF2AE5">
        <w:rPr>
          <w:rFonts w:ascii="Arial" w:eastAsia="Arial" w:hAnsi="Arial" w:cs="Arial"/>
          <w:b/>
          <w:i/>
          <w:sz w:val="20"/>
          <w:szCs w:val="20"/>
          <w:lang w:val="en-US"/>
        </w:rPr>
        <w:t>Keywords</w:t>
      </w:r>
    </w:p>
    <w:p w14:paraId="5AAF9D86" w14:textId="77777777" w:rsidR="005401B2" w:rsidRDefault="003B6350" w:rsidP="005401B2">
      <w:pPr>
        <w:shd w:val="clear" w:color="auto" w:fill="FFFFFF"/>
        <w:spacing w:after="0" w:line="360" w:lineRule="auto"/>
        <w:jc w:val="both"/>
        <w:rPr>
          <w:rFonts w:ascii="Arial" w:eastAsia="Arial" w:hAnsi="Arial" w:cs="Arial"/>
          <w:i/>
          <w:sz w:val="20"/>
          <w:szCs w:val="20"/>
          <w:lang w:val="en-US"/>
        </w:rPr>
      </w:pPr>
      <w:r w:rsidRPr="00FF2AE5">
        <w:rPr>
          <w:rFonts w:ascii="Arial" w:eastAsia="Arial" w:hAnsi="Arial" w:cs="Arial"/>
          <w:i/>
          <w:sz w:val="20"/>
          <w:szCs w:val="20"/>
          <w:lang w:val="en-US"/>
        </w:rPr>
        <w:t>Juvenile Criminal justice - restorative justice - drug crimes - rights-based</w:t>
      </w:r>
      <w:bookmarkStart w:id="2" w:name="_heading=h.cmf64f5e8x4e" w:colFirst="0" w:colLast="0"/>
      <w:bookmarkEnd w:id="2"/>
    </w:p>
    <w:p w14:paraId="59EB3BD2" w14:textId="6BCE69CB" w:rsidR="005401B2" w:rsidRPr="00AC1FE6" w:rsidRDefault="005401B2" w:rsidP="005401B2">
      <w:pPr>
        <w:shd w:val="clear" w:color="auto" w:fill="FFFFFF"/>
        <w:spacing w:after="0" w:line="360" w:lineRule="auto"/>
        <w:jc w:val="both"/>
        <w:rPr>
          <w:rFonts w:ascii="Arial" w:eastAsia="Arial" w:hAnsi="Arial" w:cs="Arial"/>
          <w:iCs/>
          <w:sz w:val="20"/>
          <w:szCs w:val="20"/>
          <w:lang w:val="en-US"/>
        </w:rPr>
      </w:pPr>
    </w:p>
    <w:p w14:paraId="68BD717A" w14:textId="0110DE53" w:rsidR="00AC1FE6" w:rsidRDefault="00AC1FE6" w:rsidP="005401B2">
      <w:pPr>
        <w:shd w:val="clear" w:color="auto" w:fill="FFFFFF"/>
        <w:spacing w:after="0" w:line="360" w:lineRule="auto"/>
        <w:jc w:val="both"/>
        <w:rPr>
          <w:rFonts w:ascii="Arial" w:eastAsia="Arial" w:hAnsi="Arial" w:cs="Arial"/>
          <w:iCs/>
          <w:sz w:val="20"/>
          <w:szCs w:val="20"/>
          <w:lang w:val="en-US"/>
        </w:rPr>
      </w:pPr>
    </w:p>
    <w:p w14:paraId="7F2DCB7F" w14:textId="77777777" w:rsidR="00AB4EB3" w:rsidRPr="00AC1FE6" w:rsidRDefault="00AB4EB3" w:rsidP="005401B2">
      <w:pPr>
        <w:shd w:val="clear" w:color="auto" w:fill="FFFFFF"/>
        <w:spacing w:after="0" w:line="360" w:lineRule="auto"/>
        <w:jc w:val="both"/>
        <w:rPr>
          <w:rFonts w:ascii="Arial" w:eastAsia="Arial" w:hAnsi="Arial" w:cs="Arial"/>
          <w:iCs/>
          <w:sz w:val="20"/>
          <w:szCs w:val="20"/>
          <w:lang w:val="en-US"/>
        </w:rPr>
      </w:pPr>
    </w:p>
    <w:p w14:paraId="6EE693F8" w14:textId="1E3B0994" w:rsidR="00F75B31" w:rsidRPr="005401B2" w:rsidRDefault="003B6350" w:rsidP="005401B2">
      <w:pPr>
        <w:shd w:val="clear" w:color="auto" w:fill="FFFFFF"/>
        <w:spacing w:after="0" w:line="360" w:lineRule="auto"/>
        <w:ind w:firstLine="708"/>
        <w:jc w:val="both"/>
        <w:rPr>
          <w:rFonts w:ascii="Arial" w:hAnsi="Arial" w:cs="Arial"/>
          <w:b/>
          <w:bCs/>
          <w:sz w:val="20"/>
          <w:szCs w:val="20"/>
        </w:rPr>
      </w:pPr>
      <w:r w:rsidRPr="005401B2">
        <w:rPr>
          <w:rFonts w:ascii="Arial" w:hAnsi="Arial" w:cs="Arial"/>
          <w:b/>
          <w:bCs/>
          <w:sz w:val="20"/>
          <w:szCs w:val="20"/>
        </w:rPr>
        <w:t>I. Del paradigma tutelar al enfoque de derechos: avances y desafíos. La situación en Mar del Plata</w:t>
      </w:r>
    </w:p>
    <w:p w14:paraId="1EC77BB8"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Las leyes 13.298 y 13.634 trajeron consigo el fin normativo del paradigma de la intervención tutelar en las prácticas cotidianas del poder judicial bonaerense, buscándose bienintencionadamente el paso hacia un modelo de enfoque de derechos que tenga en especial consideración los derechos y garantías de los niños, niñas y adolescentes (en adelante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 tanto en su órbita penal como en el plano de la promoción y protección de derechos. Así, la provincia de Buenos Aires adecuó su marco normativo a las exigencias convencionales y constitucionales, que surgen de la Convención de los Derechos del Niño, con jerarquía constitucional, a partir del art. 75 inc. 22 de la Constitución.</w:t>
      </w:r>
    </w:p>
    <w:p w14:paraId="65E2079A"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sz w:val="20"/>
          <w:szCs w:val="20"/>
        </w:rPr>
        <w:tab/>
        <w:t xml:space="preserve">A más de 15 años de la puesta en funcionamiento del régimen de la responsabilidad penal juvenil, se verifica que la nueva legislación ha traído varios avances en lo cotidiano en lo que particularmente hace a la aplicación de garantías durante el desarrollo del proceso penal que se les pudiera seguir a los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 xml:space="preserve"> involucrados activamente en un conflicto penal. </w:t>
      </w:r>
    </w:p>
    <w:p w14:paraId="2B4A7CE8"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color w:val="666666"/>
          <w:sz w:val="20"/>
          <w:szCs w:val="20"/>
        </w:rPr>
        <w:tab/>
      </w:r>
      <w:r w:rsidRPr="005401B2">
        <w:rPr>
          <w:rFonts w:ascii="Arial" w:eastAsia="Arial" w:hAnsi="Arial" w:cs="Arial"/>
          <w:sz w:val="20"/>
          <w:szCs w:val="20"/>
        </w:rPr>
        <w:t xml:space="preserve">Así, en la territorialidad que nos toca, el dpto. judicial de Mar del Plata, los operadores del fuero penal juvenil han venido desarrollando una serie de prácticas que, a este respecto, en mucho superan al viejo sistema. En efecto, el código de procedimiento penal ha operado como cláusula de igual garantía, constituyéndose en un piso mínimo de </w:t>
      </w:r>
      <w:r w:rsidRPr="005401B2">
        <w:rPr>
          <w:rFonts w:ascii="Arial" w:eastAsia="Arial" w:hAnsi="Arial" w:cs="Arial"/>
          <w:sz w:val="20"/>
          <w:szCs w:val="20"/>
        </w:rPr>
        <w:lastRenderedPageBreak/>
        <w:t xml:space="preserve">las garantías de las personas adolescentes a lo largo del proceso. A ello, cabe agregar como buenas prácticas, la aplicación de determinados institutos específicos y determinados criterios de actuación judicial, que hacen a un proceso penal que tiene en consideración el carácter de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 xml:space="preserve"> de las personas acusadas; tales como: </w:t>
      </w:r>
    </w:p>
    <w:p w14:paraId="63A6A194"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la utilización permanente del principio de oportunidad, de conformidad con el art. 40 de la ley, para desincriminar delitos de bagatela</w:t>
      </w:r>
      <w:r w:rsidRPr="005401B2">
        <w:rPr>
          <w:rFonts w:ascii="Arial" w:eastAsia="Arial" w:hAnsi="Arial" w:cs="Arial"/>
          <w:color w:val="000000"/>
          <w:sz w:val="20"/>
          <w:szCs w:val="20"/>
          <w:vertAlign w:val="superscript"/>
        </w:rPr>
        <w:footnoteReference w:id="2"/>
      </w:r>
      <w:r w:rsidRPr="005401B2">
        <w:rPr>
          <w:rFonts w:ascii="Arial" w:eastAsia="Arial" w:hAnsi="Arial" w:cs="Arial"/>
          <w:color w:val="000000"/>
          <w:sz w:val="20"/>
          <w:szCs w:val="20"/>
        </w:rPr>
        <w:t>;</w:t>
      </w:r>
    </w:p>
    <w:p w14:paraId="0A9187AE"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 xml:space="preserve"> la independencia técnica de los CTA respecto de los juzgados como de las partes del proceso; </w:t>
      </w:r>
    </w:p>
    <w:p w14:paraId="0C0EDAAE"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 xml:space="preserve">la consideración permanente de los y las adolescentes acusados como personas en formación, y, por lo tanto, la contemplación de penas reducidas en todos los casos a la escala de la tentativa, de conformidad con el art. 4 del </w:t>
      </w:r>
      <w:proofErr w:type="spellStart"/>
      <w:r w:rsidRPr="005401B2">
        <w:rPr>
          <w:rFonts w:ascii="Arial" w:eastAsia="Arial" w:hAnsi="Arial" w:cs="Arial"/>
          <w:color w:val="000000"/>
          <w:sz w:val="20"/>
          <w:szCs w:val="20"/>
        </w:rPr>
        <w:t>Dec</w:t>
      </w:r>
      <w:proofErr w:type="spellEnd"/>
      <w:r w:rsidRPr="005401B2">
        <w:rPr>
          <w:rFonts w:ascii="Arial" w:eastAsia="Arial" w:hAnsi="Arial" w:cs="Arial"/>
          <w:color w:val="000000"/>
          <w:sz w:val="20"/>
          <w:szCs w:val="20"/>
        </w:rPr>
        <w:t>. Ley 22.278 y la jurisprudencia de la Corte Interamericana y de la Corte de Justicia de la Nación</w:t>
      </w:r>
      <w:r w:rsidRPr="005401B2">
        <w:rPr>
          <w:rFonts w:ascii="Arial" w:eastAsia="Arial" w:hAnsi="Arial" w:cs="Arial"/>
          <w:color w:val="000000"/>
          <w:sz w:val="20"/>
          <w:szCs w:val="20"/>
          <w:vertAlign w:val="superscript"/>
        </w:rPr>
        <w:footnoteReference w:id="3"/>
      </w:r>
      <w:r w:rsidRPr="005401B2">
        <w:rPr>
          <w:rFonts w:ascii="Arial" w:eastAsia="Arial" w:hAnsi="Arial" w:cs="Arial"/>
          <w:color w:val="000000"/>
          <w:sz w:val="20"/>
          <w:szCs w:val="20"/>
        </w:rPr>
        <w:t>;</w:t>
      </w:r>
    </w:p>
    <w:p w14:paraId="30E80F17"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 xml:space="preserve"> un cúmulo importante de absoluciones en los juicios de cesura, producto de resultados positivos del abordaje socio educativo</w:t>
      </w:r>
      <w:r w:rsidRPr="005401B2">
        <w:rPr>
          <w:rFonts w:ascii="Arial" w:eastAsia="Arial" w:hAnsi="Arial" w:cs="Arial"/>
          <w:color w:val="000000"/>
          <w:sz w:val="20"/>
          <w:szCs w:val="20"/>
          <w:vertAlign w:val="superscript"/>
        </w:rPr>
        <w:footnoteReference w:id="4"/>
      </w:r>
      <w:r w:rsidRPr="005401B2">
        <w:rPr>
          <w:rFonts w:ascii="Arial" w:eastAsia="Arial" w:hAnsi="Arial" w:cs="Arial"/>
          <w:color w:val="000000"/>
          <w:sz w:val="20"/>
          <w:szCs w:val="20"/>
        </w:rPr>
        <w:t>;</w:t>
      </w:r>
    </w:p>
    <w:p w14:paraId="5197C2F1"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 xml:space="preserve">oralidad y plena fundamentación normativa de la adopción de las medidas de encierro, de conformidad con los estándares convencionales; </w:t>
      </w:r>
    </w:p>
    <w:p w14:paraId="461E6C5F" w14:textId="77777777" w:rsidR="00F75B31" w:rsidRPr="005401B2" w:rsidRDefault="003B6350">
      <w:pPr>
        <w:numPr>
          <w:ilvl w:val="0"/>
          <w:numId w:val="1"/>
        </w:numPr>
        <w:pBdr>
          <w:top w:val="nil"/>
          <w:left w:val="nil"/>
          <w:bottom w:val="nil"/>
          <w:right w:val="nil"/>
          <w:between w:val="nil"/>
        </w:pBdr>
        <w:shd w:val="clear" w:color="auto" w:fill="FFFFFF"/>
        <w:spacing w:after="0" w:line="360" w:lineRule="auto"/>
        <w:ind w:hanging="720"/>
        <w:jc w:val="both"/>
        <w:rPr>
          <w:rFonts w:ascii="Arial" w:eastAsia="Arial" w:hAnsi="Arial" w:cs="Arial"/>
          <w:color w:val="000000"/>
          <w:sz w:val="20"/>
          <w:szCs w:val="20"/>
        </w:rPr>
      </w:pPr>
      <w:r w:rsidRPr="005401B2">
        <w:rPr>
          <w:rFonts w:ascii="Arial" w:eastAsia="Arial" w:hAnsi="Arial" w:cs="Arial"/>
          <w:color w:val="000000"/>
          <w:sz w:val="20"/>
          <w:szCs w:val="20"/>
        </w:rPr>
        <w:t>uso muy limitado del instituto de las medidas de seguridad respecto de personas adolescentes no punibles; estrictamente reservadas para delitos extremadamente graves y por un breve lapso temporal</w:t>
      </w:r>
      <w:r w:rsidRPr="005401B2">
        <w:rPr>
          <w:rFonts w:ascii="Arial" w:eastAsia="Arial" w:hAnsi="Arial" w:cs="Arial"/>
          <w:color w:val="000000"/>
          <w:sz w:val="20"/>
          <w:szCs w:val="20"/>
          <w:vertAlign w:val="superscript"/>
        </w:rPr>
        <w:footnoteReference w:id="5"/>
      </w:r>
      <w:r w:rsidRPr="005401B2">
        <w:rPr>
          <w:rFonts w:ascii="Arial" w:eastAsia="Arial" w:hAnsi="Arial" w:cs="Arial"/>
          <w:color w:val="000000"/>
          <w:sz w:val="20"/>
          <w:szCs w:val="20"/>
        </w:rPr>
        <w:t>.</w:t>
      </w:r>
    </w:p>
    <w:p w14:paraId="183043AB"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Por otro lado, y como reacción necesaria al sistema del Patronato, desde una visión diametralmente opuesta, la intervención de los operadores del fuero ha estado atravesada por un desentendimiento de la cuestión vinculada a los motivos que llevaron a delinquir, del trabajo de la responsabilidad subjetiva y de la solución de los problemas sociales subyacentes que dieron origen a las problemáticas penales. Ello en el entendimiento de que resulta ser cuestiones estrictamente atinentes a los servicios de promoción y protección de derechos, profesionales de las instituciones de encierro o Centro de </w:t>
      </w:r>
      <w:r w:rsidRPr="005401B2">
        <w:rPr>
          <w:rFonts w:ascii="Arial" w:eastAsia="Arial" w:hAnsi="Arial" w:cs="Arial"/>
          <w:sz w:val="20"/>
          <w:szCs w:val="20"/>
        </w:rPr>
        <w:lastRenderedPageBreak/>
        <w:t xml:space="preserve">Referencia, y en determinados casos, de los Juzgados de Familia. Se advierte así, un claro repliegue en la actuación que previamente tenían los Tribunales de Menores al respecto. </w:t>
      </w:r>
    </w:p>
    <w:p w14:paraId="0EA0B1B8" w14:textId="77777777" w:rsidR="00F75B31" w:rsidRPr="005401B2" w:rsidRDefault="00F75B31">
      <w:pPr>
        <w:shd w:val="clear" w:color="auto" w:fill="FFFFFF"/>
        <w:spacing w:after="0" w:line="360" w:lineRule="auto"/>
        <w:ind w:firstLine="708"/>
        <w:jc w:val="both"/>
        <w:rPr>
          <w:rFonts w:ascii="Arial" w:eastAsia="Arial" w:hAnsi="Arial" w:cs="Arial"/>
          <w:sz w:val="20"/>
          <w:szCs w:val="20"/>
        </w:rPr>
      </w:pPr>
    </w:p>
    <w:p w14:paraId="45CE94F8" w14:textId="77777777" w:rsidR="00F75B31" w:rsidRPr="005401B2" w:rsidRDefault="003B6350">
      <w:pPr>
        <w:pStyle w:val="Ttulo2"/>
        <w:shd w:val="clear" w:color="auto" w:fill="FFFFFF"/>
        <w:spacing w:after="0" w:line="360" w:lineRule="auto"/>
        <w:ind w:firstLine="708"/>
        <w:jc w:val="both"/>
        <w:rPr>
          <w:rFonts w:ascii="Arial" w:hAnsi="Arial" w:cs="Arial"/>
          <w:sz w:val="20"/>
          <w:szCs w:val="20"/>
        </w:rPr>
      </w:pPr>
      <w:bookmarkStart w:id="3" w:name="_heading=h.tg527menae0i" w:colFirst="0" w:colLast="0"/>
      <w:bookmarkEnd w:id="3"/>
      <w:r w:rsidRPr="005401B2">
        <w:rPr>
          <w:rFonts w:ascii="Arial" w:hAnsi="Arial" w:cs="Arial"/>
          <w:sz w:val="20"/>
          <w:szCs w:val="20"/>
        </w:rPr>
        <w:t>II. Un poco de historia. La represión por sobre la promoción y protección.</w:t>
      </w:r>
    </w:p>
    <w:p w14:paraId="2135BF9E"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Antiguamente los Tribunales de Menores contaban con dos Secretarías. Una penal y otra asistencial. La crítica que justamente se le ha hecho al antiguo modelo al respecto, es que no podía ser el mismo el mismo magistrado o magistrada quien por un lado se encargue de la situación de desamparo, y, por el otro, de los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 xml:space="preserve"> en conflicto con la ley penal. Se argumentaba, con razón, que en muchas ocasiones el encierro se producía no ya por una conducta delictiva concreta, sino más bien por el conocimiento previo de cada niño o niña en situación de desamparo que se lo considerase peligroso. </w:t>
      </w:r>
    </w:p>
    <w:p w14:paraId="2604DBDA"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La referida ley 13.634, escindió estas funciones estableciendo por un lado la tarea del juez penal juvenil, y por el otro, la garantía de derechos de los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 descentralizando la función jurisdiccional en una medida importante en los servicios municipales de Niñez, con control de las autoridades provinciales, y la restringida intervención de los actuales Juzgados de Familia.</w:t>
      </w:r>
    </w:p>
    <w:p w14:paraId="237310AA" w14:textId="77777777" w:rsidR="00F75B31" w:rsidRPr="005401B2" w:rsidRDefault="003B6350">
      <w:pPr>
        <w:spacing w:after="0" w:line="360" w:lineRule="auto"/>
        <w:jc w:val="both"/>
        <w:rPr>
          <w:rFonts w:ascii="Arial" w:eastAsia="Arial" w:hAnsi="Arial" w:cs="Arial"/>
          <w:sz w:val="20"/>
          <w:szCs w:val="20"/>
        </w:rPr>
      </w:pPr>
      <w:r w:rsidRPr="005401B2">
        <w:rPr>
          <w:rFonts w:ascii="Arial" w:eastAsia="Arial" w:hAnsi="Arial" w:cs="Arial"/>
          <w:sz w:val="20"/>
          <w:szCs w:val="20"/>
        </w:rPr>
        <w:t xml:space="preserve"> </w:t>
      </w:r>
      <w:r w:rsidRPr="005401B2">
        <w:rPr>
          <w:rFonts w:ascii="Arial" w:eastAsia="Arial" w:hAnsi="Arial" w:cs="Arial"/>
          <w:sz w:val="20"/>
          <w:szCs w:val="20"/>
        </w:rPr>
        <w:tab/>
        <w:t>En términos de recursos humanos –incluidos sus equipos técnicos-, económicos y edilicios, la totalidad de los antiguos Tribunales de Menores como todo el personal a su cargo, independientemente de la Secretaría en la que prestaban funciones, pasaron a formar parte del Fuero Penal Juvenil</w:t>
      </w:r>
      <w:r w:rsidRPr="005401B2">
        <w:rPr>
          <w:rFonts w:ascii="Arial" w:eastAsia="Arial" w:hAnsi="Arial" w:cs="Arial"/>
          <w:sz w:val="20"/>
          <w:szCs w:val="20"/>
          <w:vertAlign w:val="superscript"/>
        </w:rPr>
        <w:footnoteReference w:id="6"/>
      </w:r>
      <w:r w:rsidRPr="005401B2">
        <w:rPr>
          <w:rFonts w:ascii="Arial" w:eastAsia="Arial" w:hAnsi="Arial" w:cs="Arial"/>
          <w:sz w:val="20"/>
          <w:szCs w:val="20"/>
        </w:rPr>
        <w:t>. Es decir, el Estado en aquel momento priorizó en recursos humanos y económicos la persecución penal que la protección de los derechos</w:t>
      </w:r>
      <w:r w:rsidRPr="005401B2">
        <w:rPr>
          <w:rFonts w:ascii="Arial" w:eastAsia="Arial" w:hAnsi="Arial" w:cs="Arial"/>
          <w:sz w:val="20"/>
          <w:szCs w:val="20"/>
          <w:vertAlign w:val="superscript"/>
        </w:rPr>
        <w:footnoteReference w:id="7"/>
      </w:r>
      <w:r w:rsidRPr="005401B2">
        <w:rPr>
          <w:rFonts w:ascii="Arial" w:eastAsia="Arial" w:hAnsi="Arial" w:cs="Arial"/>
          <w:sz w:val="20"/>
          <w:szCs w:val="20"/>
        </w:rPr>
        <w:t xml:space="preserve">. </w:t>
      </w:r>
    </w:p>
    <w:p w14:paraId="105314C4" w14:textId="77777777" w:rsidR="00F75B31" w:rsidRPr="005401B2" w:rsidRDefault="003B6350">
      <w:pPr>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De hecho, la Justicia de Familia absorbió dicha competencia sin recursos ni especialización alguna, generándose una actuación estatal descoordinada, en muchas ocasiones iatrogénica y sin conocimiento específico. Ello, más allá de saturar en términos de cantidad de trabajo a tales Juzgados, con las disvaliosas consecuencias que ello </w:t>
      </w:r>
      <w:r w:rsidRPr="005401B2">
        <w:rPr>
          <w:rFonts w:ascii="Arial" w:eastAsia="Arial" w:hAnsi="Arial" w:cs="Arial"/>
          <w:sz w:val="20"/>
          <w:szCs w:val="20"/>
        </w:rPr>
        <w:lastRenderedPageBreak/>
        <w:t>acarrea para una correcta intervención judicial. Así se ha visto recientemente, como la Suprema Corte Bonaerense ha asignado a juzgados penales, competencia que tradicionalmente perteneció a los juzgados de Familia, en la búsqueda de descomprimir a estos últimos</w:t>
      </w:r>
      <w:r w:rsidRPr="005401B2">
        <w:rPr>
          <w:rFonts w:ascii="Arial" w:eastAsia="Arial" w:hAnsi="Arial" w:cs="Arial"/>
          <w:sz w:val="20"/>
          <w:szCs w:val="20"/>
          <w:vertAlign w:val="superscript"/>
        </w:rPr>
        <w:footnoteReference w:id="8"/>
      </w:r>
      <w:r w:rsidRPr="005401B2">
        <w:rPr>
          <w:rFonts w:ascii="Arial" w:eastAsia="Arial" w:hAnsi="Arial" w:cs="Arial"/>
          <w:sz w:val="20"/>
          <w:szCs w:val="20"/>
        </w:rPr>
        <w:t>.</w:t>
      </w:r>
    </w:p>
    <w:p w14:paraId="5E504FDC"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La sensación es que se ha pasado de un extremo a otro; de la institucionalización como única respuesta a los niños en situación de calle y/o con conflictos penales, a desentenderse del rol que le ocupa, en el marco de la corresponsabilidad, al Poder Judicial en sede penal como agencia estatal y garante de Derechos de estos pibes. Ello bajo pretexto de que su intervención resultaría paternalista injustificada y, en consecuencia, tutelar clásica.</w:t>
      </w:r>
    </w:p>
    <w:p w14:paraId="4A148EA7"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¿Cómo evitamos los niños en situación de calle? ¿Qué hacemos cuando la familia abandona a los niños? ¿Y cuándo las familias están involucradas en el delito? ¿Cómo abordamos la cuestión de la salud mental? ¿Y la responsabilidad subjetiva? ¿La asunción de un rol constructivo en la sociedad? Estas preguntas, ¿no debieran interpelar nuestro quehacer cotidiano? ¿Se encuentran dentro de nuestro ámbito de competencia, o lo exceden?</w:t>
      </w:r>
    </w:p>
    <w:p w14:paraId="11B16D72" w14:textId="77777777" w:rsidR="00F75B31" w:rsidRPr="005401B2" w:rsidRDefault="00F75B31">
      <w:pPr>
        <w:shd w:val="clear" w:color="auto" w:fill="FFFFFF"/>
        <w:spacing w:after="0" w:line="360" w:lineRule="auto"/>
        <w:ind w:firstLine="708"/>
        <w:jc w:val="both"/>
        <w:rPr>
          <w:rFonts w:ascii="Arial" w:eastAsia="Arial" w:hAnsi="Arial" w:cs="Arial"/>
          <w:b/>
          <w:sz w:val="20"/>
          <w:szCs w:val="20"/>
        </w:rPr>
      </w:pPr>
    </w:p>
    <w:p w14:paraId="5EC05A8C" w14:textId="77777777" w:rsidR="00F75B31" w:rsidRPr="005401B2" w:rsidRDefault="003B6350">
      <w:pPr>
        <w:pStyle w:val="Ttulo2"/>
        <w:shd w:val="clear" w:color="auto" w:fill="FFFFFF"/>
        <w:spacing w:after="0" w:line="360" w:lineRule="auto"/>
        <w:ind w:firstLine="708"/>
        <w:jc w:val="both"/>
        <w:rPr>
          <w:rFonts w:ascii="Arial" w:hAnsi="Arial" w:cs="Arial"/>
          <w:sz w:val="20"/>
          <w:szCs w:val="20"/>
        </w:rPr>
      </w:pPr>
      <w:bookmarkStart w:id="4" w:name="_heading=h.q8j7ofrc2k0t" w:colFirst="0" w:colLast="0"/>
      <w:bookmarkEnd w:id="4"/>
      <w:r w:rsidRPr="005401B2">
        <w:rPr>
          <w:rFonts w:ascii="Arial" w:hAnsi="Arial" w:cs="Arial"/>
          <w:sz w:val="20"/>
          <w:szCs w:val="20"/>
        </w:rPr>
        <w:t>III. ¿Qué implica hacer una Justicia especializada en Niños, Niñas y Adolescentes?</w:t>
      </w:r>
    </w:p>
    <w:p w14:paraId="145E862D"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bookmarkStart w:id="5" w:name="_heading=h.9rapfb9d45qz" w:colFirst="0" w:colLast="0"/>
      <w:bookmarkEnd w:id="5"/>
      <w:r w:rsidRPr="005401B2">
        <w:rPr>
          <w:rFonts w:ascii="Arial" w:eastAsia="Arial" w:hAnsi="Arial" w:cs="Arial"/>
          <w:sz w:val="20"/>
          <w:szCs w:val="20"/>
        </w:rPr>
        <w:t>Recientemente, el juez Carral definía al fuero penal juvenil como un mini fuero penal; un fuero penal enano</w:t>
      </w:r>
      <w:r w:rsidRPr="005401B2">
        <w:rPr>
          <w:rFonts w:ascii="Arial" w:eastAsia="Arial" w:hAnsi="Arial" w:cs="Arial"/>
          <w:sz w:val="20"/>
          <w:szCs w:val="20"/>
          <w:vertAlign w:val="superscript"/>
        </w:rPr>
        <w:footnoteReference w:id="9"/>
      </w:r>
      <w:r w:rsidRPr="005401B2">
        <w:rPr>
          <w:rFonts w:ascii="Arial" w:eastAsia="Arial" w:hAnsi="Arial" w:cs="Arial"/>
          <w:sz w:val="20"/>
          <w:szCs w:val="20"/>
        </w:rPr>
        <w:t>. Con esta parodia lo que buscaba demostrar es que actualmente no hay diferencias cualitativas entre la intervención penal y la intervención penal juvenil en el sistema bonaerense. Así volvemos al principio, ¿qué implica hacer una Justicia especializada en Niños, Niñas y Adolescentes?</w:t>
      </w:r>
    </w:p>
    <w:p w14:paraId="094E339C"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Entiendo que una Justicia especializada debe partir del prisma de los derechos y garantías mínimas de todo proceso penal, y establecer también, normas y prácticas que tiendan a una intervención penal cuantitativamente con menos poder punitivo. Este es el estado actual de la cuestión en este departamento judicial de Mar del Plata. </w:t>
      </w:r>
    </w:p>
    <w:p w14:paraId="181E912F"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No obstante, con esto no alcanza. Se necesita un plus, se necesita un poco más de cada uno de nosotros y nosotras. Se requiere verdadera vocación de transformación de estas personas adolescentes que cometen delitos, en personas que aporten su granito de arena a nuestra sociedad. En términos técnicos, a la construcción de su proyecto de vida</w:t>
      </w:r>
      <w:r w:rsidRPr="005401B2">
        <w:rPr>
          <w:rFonts w:ascii="Arial" w:eastAsia="Arial" w:hAnsi="Arial" w:cs="Arial"/>
          <w:sz w:val="20"/>
          <w:szCs w:val="20"/>
          <w:vertAlign w:val="superscript"/>
        </w:rPr>
        <w:footnoteReference w:id="10"/>
      </w:r>
      <w:r w:rsidRPr="005401B2">
        <w:rPr>
          <w:rFonts w:ascii="Arial" w:eastAsia="Arial" w:hAnsi="Arial" w:cs="Arial"/>
          <w:sz w:val="20"/>
          <w:szCs w:val="20"/>
        </w:rPr>
        <w:t xml:space="preserve">. </w:t>
      </w:r>
      <w:r w:rsidRPr="005401B2">
        <w:rPr>
          <w:rFonts w:ascii="Arial" w:eastAsia="Arial" w:hAnsi="Arial" w:cs="Arial"/>
          <w:sz w:val="20"/>
          <w:szCs w:val="20"/>
        </w:rPr>
        <w:lastRenderedPageBreak/>
        <w:t xml:space="preserve">de Ello es lo que conllevará a realizar una intervención cualitativamente diversa a la del sistema penal de adultos. </w:t>
      </w:r>
    </w:p>
    <w:p w14:paraId="67B483AD"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Por supuesto, y nunca está demás decirlo, repetirlo y volverlo a decir. Jamás, pero jamás esta vocación puede guiar o justificar la adopción de medidas encierro, ni perjudicar la situación de coerción de las personas adolescentes. </w:t>
      </w:r>
    </w:p>
    <w:p w14:paraId="132C6841"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Esta función y asignación de tareas especiales que hacen necesariamente a la intervención especializada tiene su fundamento normativo ni más ni menos en la propia Convención de los Derechos del Niño, y en las leyes 26.061, 13.634 y 13.298. Por su importancia normativa, tan solo mencionar el art. 3 de la Convención</w:t>
      </w:r>
    </w:p>
    <w:p w14:paraId="29A84860" w14:textId="77777777" w:rsidR="00F75B31" w:rsidRPr="005401B2" w:rsidRDefault="003B6350">
      <w:pPr>
        <w:shd w:val="clear" w:color="auto" w:fill="FFFFFF"/>
        <w:spacing w:after="0" w:line="360" w:lineRule="auto"/>
        <w:ind w:left="709"/>
        <w:jc w:val="both"/>
        <w:rPr>
          <w:rFonts w:ascii="Arial" w:eastAsia="Arial" w:hAnsi="Arial" w:cs="Arial"/>
          <w:sz w:val="20"/>
          <w:szCs w:val="20"/>
        </w:rPr>
      </w:pPr>
      <w:r w:rsidRPr="005401B2">
        <w:rPr>
          <w:rFonts w:ascii="Arial" w:eastAsia="Arial" w:hAnsi="Arial" w:cs="Arial"/>
          <w:sz w:val="20"/>
          <w:szCs w:val="20"/>
        </w:rPr>
        <w:t>Artículo 3. 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r w:rsidRPr="005401B2">
        <w:rPr>
          <w:rFonts w:ascii="Arial" w:eastAsia="Arial" w:hAnsi="Arial" w:cs="Arial"/>
          <w:sz w:val="20"/>
          <w:szCs w:val="20"/>
          <w:vertAlign w:val="superscript"/>
        </w:rPr>
        <w:footnoteReference w:id="11"/>
      </w:r>
    </w:p>
    <w:p w14:paraId="37ED5EA5" w14:textId="77777777" w:rsidR="00F75B31" w:rsidRPr="005401B2" w:rsidRDefault="003B6350">
      <w:pPr>
        <w:shd w:val="clear" w:color="auto" w:fill="FFFFFF"/>
        <w:spacing w:before="120"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Esta especialización que diferencia nuestra intervención de la tarea de los operadores judiciales de la justicia penal de adultos muchas veces la llevamos a cabo, sin ni siquiera darnos cuenta. Así es que habitualmente nos quejamos que las estadísticas no valoran el trabajo que se hace especialmente en cada caso. Las comunicaciones permanentes con un organismo, con el otro, la escucha de las personas adolescentes imputadas, hablar con sus padres, buscar guiarlos. Pensar estrategias adecuadas de intervención. Ocuparnos activamente de la violencia institucional. Pero, en muchas otras situaciones hacemos la vista gorda, nos desentendemos de las cuestiones y “mejor que se ocupe otro poder del Estado; total, para eso están” ... </w:t>
      </w:r>
    </w:p>
    <w:p w14:paraId="2854BCA1"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Estoy convencido que el norte de nuestra intervención debe ser la detección temprana de los conflictos sociales y la búsqueda de su pronta solución, a partir de abordajes interdisciplinarios en pie de igualdad con las restantes agencias. Intervenciones que tengan en especial consideración las particularidades de cada caso, los motivos que llevaron a delinquir, el tipo de conducta delictiva, los posibles organismos a intervenir, el trabajo primordial sobre la responsabilidad subjetiva y la búsqueda de la autopercepción </w:t>
      </w:r>
      <w:r w:rsidRPr="005401B2">
        <w:rPr>
          <w:rFonts w:ascii="Arial" w:eastAsia="Arial" w:hAnsi="Arial" w:cs="Arial"/>
          <w:sz w:val="20"/>
          <w:szCs w:val="20"/>
        </w:rPr>
        <w:lastRenderedPageBreak/>
        <w:t xml:space="preserve">como sujeto de derecho y deberes. Brindar el mayor esfuerzo por salirnos de las respuestas unificadas: encierro, comunidad por drogas, intervención de Centro de Referencia en casos no tan graves, y no mucho más. Bucear, estar, acompañar, guiar, hacer saber lo que está bien y lo que está mal. Ello, tejiendo redes y buscando las articulaciones necesarias, en el marco del deber de corresponsabilidad que nos competente como Poder del Estado, en aras de garantía de los derechos de los y las </w:t>
      </w:r>
      <w:proofErr w:type="gramStart"/>
      <w:r w:rsidRPr="005401B2">
        <w:rPr>
          <w:rFonts w:ascii="Arial" w:eastAsia="Arial" w:hAnsi="Arial" w:cs="Arial"/>
          <w:sz w:val="20"/>
          <w:szCs w:val="20"/>
        </w:rPr>
        <w:t>N,NyA</w:t>
      </w:r>
      <w:proofErr w:type="gramEnd"/>
      <w:r w:rsidRPr="005401B2">
        <w:rPr>
          <w:rFonts w:ascii="Arial" w:eastAsia="Arial" w:hAnsi="Arial" w:cs="Arial"/>
          <w:sz w:val="20"/>
          <w:szCs w:val="20"/>
        </w:rPr>
        <w:t>.</w:t>
      </w:r>
    </w:p>
    <w:p w14:paraId="55D53A6A"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 xml:space="preserve"> Aprehender y comprender también que las personas adolescentes son personas en formación, cuyo proceso madurativo aún está en desarrollo</w:t>
      </w:r>
      <w:r w:rsidRPr="005401B2">
        <w:rPr>
          <w:rFonts w:ascii="Arial" w:eastAsia="Arial" w:hAnsi="Arial" w:cs="Arial"/>
          <w:sz w:val="20"/>
          <w:szCs w:val="20"/>
          <w:vertAlign w:val="superscript"/>
        </w:rPr>
        <w:footnoteReference w:id="12"/>
      </w:r>
      <w:r w:rsidRPr="005401B2">
        <w:rPr>
          <w:rFonts w:ascii="Arial" w:eastAsia="Arial" w:hAnsi="Arial" w:cs="Arial"/>
          <w:sz w:val="20"/>
          <w:szCs w:val="20"/>
        </w:rPr>
        <w:t>, y por lo tanto las posibilidades de cambio en los hábitos conductuales es muy superior a la de las personas adultas y, simultáneamente, resultan más influenciables por otras personas, e innatamente transgresoras en esta etapa de la vida</w:t>
      </w:r>
      <w:r w:rsidRPr="005401B2">
        <w:rPr>
          <w:rFonts w:ascii="Arial" w:eastAsia="Arial" w:hAnsi="Arial" w:cs="Arial"/>
          <w:sz w:val="20"/>
          <w:szCs w:val="20"/>
          <w:vertAlign w:val="superscript"/>
        </w:rPr>
        <w:footnoteReference w:id="13"/>
      </w:r>
      <w:r w:rsidRPr="005401B2">
        <w:rPr>
          <w:rFonts w:ascii="Arial" w:eastAsia="Arial" w:hAnsi="Arial" w:cs="Arial"/>
          <w:sz w:val="20"/>
          <w:szCs w:val="20"/>
        </w:rPr>
        <w:t>. Por eso celebro la incipiente formación de un equipo de abordaje restaurativo en nuestro departamento judicial, que se compone por profesionales de las más variadas disciplinas, con verdadera vocación de aportar sus saberes.</w:t>
      </w:r>
    </w:p>
    <w:p w14:paraId="4E250436" w14:textId="77777777" w:rsidR="00F75B31" w:rsidRPr="005401B2" w:rsidRDefault="003B6350" w:rsidP="004C4E8B">
      <w:pPr>
        <w:pStyle w:val="Ttulo2"/>
        <w:ind w:firstLine="709"/>
        <w:rPr>
          <w:rFonts w:ascii="Arial" w:hAnsi="Arial" w:cs="Arial"/>
          <w:sz w:val="20"/>
          <w:szCs w:val="20"/>
        </w:rPr>
      </w:pPr>
      <w:bookmarkStart w:id="7" w:name="_heading=h.b7w6cwn58fof" w:colFirst="0" w:colLast="0"/>
      <w:bookmarkStart w:id="8" w:name="_heading=h.nqu8mu69w33n" w:colFirst="0" w:colLast="0"/>
      <w:bookmarkEnd w:id="7"/>
      <w:bookmarkEnd w:id="8"/>
      <w:r w:rsidRPr="005401B2">
        <w:rPr>
          <w:rFonts w:ascii="Arial" w:hAnsi="Arial" w:cs="Arial"/>
          <w:sz w:val="20"/>
          <w:szCs w:val="20"/>
        </w:rPr>
        <w:t>IV. Algunas buenas prácticas orientadoras en las intervenciones penales respecto de personas no punibles en razón de su edad.</w:t>
      </w:r>
    </w:p>
    <w:p w14:paraId="7D1F6B26" w14:textId="4E72A111"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 xml:space="preserve">Vayamos a algunas buenas prácticas que pueden llevarse a cabo en este sentido en un tema por demás sensible, que fuera excelentemente analizado recientemente desde la estadística por la Subsecretaría de Política Criminal del Ministerio de Justicia de la </w:t>
      </w:r>
      <w:r w:rsidR="004C4E8B">
        <w:rPr>
          <w:rFonts w:ascii="Arial" w:eastAsia="Arial" w:hAnsi="Arial" w:cs="Arial"/>
          <w:sz w:val="20"/>
          <w:szCs w:val="20"/>
        </w:rPr>
        <w:t>provincia</w:t>
      </w:r>
      <w:r w:rsidRPr="005401B2">
        <w:rPr>
          <w:rFonts w:ascii="Arial" w:eastAsia="Arial" w:hAnsi="Arial" w:cs="Arial"/>
          <w:sz w:val="20"/>
          <w:szCs w:val="20"/>
        </w:rPr>
        <w:t xml:space="preserve"> de Buenos Aires: la intervención del Fuero Penal Juvenil en relación con los niños no punibles a los efectos penales; sean menores de 16 años de edad, o sean niños de 16 o 17 años que han cometido delitos con penas cuyo máximo no supera los dos años de prisión. ¿Cuál es la respuesta que damos? ¿Qué hacemos con estos casos? ¿Debe haber algún tipo de intervención? En el punto, y aclarando la diferenciación entre punibilidad y </w:t>
      </w:r>
      <w:r w:rsidRPr="005401B2">
        <w:rPr>
          <w:rFonts w:ascii="Arial" w:eastAsia="Arial" w:hAnsi="Arial" w:cs="Arial"/>
          <w:sz w:val="20"/>
          <w:szCs w:val="20"/>
        </w:rPr>
        <w:lastRenderedPageBreak/>
        <w:t>procesabilidad, como por ejemplo lo contempla expresamente la legislación entrerriana</w:t>
      </w:r>
      <w:r w:rsidRPr="005401B2">
        <w:rPr>
          <w:rFonts w:ascii="Arial" w:eastAsia="Arial" w:hAnsi="Arial" w:cs="Arial"/>
          <w:sz w:val="20"/>
          <w:szCs w:val="20"/>
          <w:vertAlign w:val="superscript"/>
        </w:rPr>
        <w:footnoteReference w:id="14"/>
      </w:r>
      <w:r w:rsidRPr="005401B2">
        <w:rPr>
          <w:rFonts w:ascii="Arial" w:eastAsia="Arial" w:hAnsi="Arial" w:cs="Arial"/>
          <w:sz w:val="20"/>
          <w:szCs w:val="20"/>
        </w:rPr>
        <w:t>, traigo dos propuestas concretas.</w:t>
      </w:r>
    </w:p>
    <w:p w14:paraId="395E8159" w14:textId="77777777" w:rsidR="00F75B31" w:rsidRPr="005401B2" w:rsidRDefault="003B6350">
      <w:pPr>
        <w:numPr>
          <w:ilvl w:val="0"/>
          <w:numId w:val="2"/>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El establecimiento de una verdadera política criminal preventiva y restaurativa que tienda a la identificación temprana de los niños</w:t>
      </w:r>
      <w:r w:rsidRPr="005401B2">
        <w:rPr>
          <w:rFonts w:ascii="Arial" w:eastAsia="Arial" w:hAnsi="Arial" w:cs="Arial"/>
          <w:color w:val="000000"/>
          <w:sz w:val="20"/>
          <w:szCs w:val="20"/>
          <w:vertAlign w:val="superscript"/>
        </w:rPr>
        <w:footnoteReference w:id="15"/>
      </w:r>
      <w:r w:rsidRPr="005401B2">
        <w:rPr>
          <w:rFonts w:ascii="Arial" w:eastAsia="Arial" w:hAnsi="Arial" w:cs="Arial"/>
          <w:color w:val="000000"/>
          <w:sz w:val="20"/>
          <w:szCs w:val="20"/>
        </w:rPr>
        <w:t xml:space="preserve"> que hacen de la transgresión penal un hábito. Lamentablemente hoy esto no existe. Tenemos un acotado universo de casos de chicos con 10, 15 y más causas, todas leves, sin una intervención unificada ni una respuesta adecuada, que tenga en particular consideración el tratar su responsabilidad subjetiva ni abordar seriamente las responsabilidades parentales. Esto es absolutamente inaceptable. </w:t>
      </w:r>
    </w:p>
    <w:p w14:paraId="79950693" w14:textId="77777777" w:rsidR="00F75B31" w:rsidRPr="005401B2" w:rsidRDefault="003B6350">
      <w:pPr>
        <w:pBdr>
          <w:top w:val="nil"/>
          <w:left w:val="nil"/>
          <w:bottom w:val="nil"/>
          <w:right w:val="nil"/>
          <w:between w:val="nil"/>
        </w:pBdr>
        <w:shd w:val="clear" w:color="auto" w:fill="FFFFFF"/>
        <w:spacing w:after="0" w:line="360" w:lineRule="auto"/>
        <w:ind w:left="720"/>
        <w:jc w:val="both"/>
        <w:rPr>
          <w:rFonts w:ascii="Arial" w:eastAsia="Arial" w:hAnsi="Arial" w:cs="Arial"/>
          <w:color w:val="000000"/>
          <w:sz w:val="20"/>
          <w:szCs w:val="20"/>
        </w:rPr>
      </w:pPr>
      <w:r w:rsidRPr="005401B2">
        <w:rPr>
          <w:rFonts w:ascii="Arial" w:eastAsia="Arial" w:hAnsi="Arial" w:cs="Arial"/>
          <w:color w:val="000000"/>
          <w:sz w:val="20"/>
          <w:szCs w:val="20"/>
        </w:rPr>
        <w:t xml:space="preserve">Es más que necesario el establecimiento de algún mecanismo que permita al Ministerio Público Fiscal la detección en los cuatro municipios que integran el departamento judicial de esta clase de casos. Luego, en articulación con las y los jueces de garantías, se podrían generar los espacios tendientes a gestionar las articulaciones que haya que realizar e iniciar procesos restaurativos. Procesos en los que las víctimas se lleven una mínima sensación de reparación, pero por sobre todas las cosas, pueda trabajarse seriamente, en el marco de la corresponsabilidad, en la responsabilidad subjetiva de estos adolescentes para que puedan asumir una actitud constructiva en la sociedad. </w:t>
      </w:r>
    </w:p>
    <w:p w14:paraId="652A2E09" w14:textId="77777777" w:rsidR="00F75B31" w:rsidRPr="005401B2" w:rsidRDefault="003B6350">
      <w:pPr>
        <w:numPr>
          <w:ilvl w:val="0"/>
          <w:numId w:val="2"/>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Las realizaciones de juicios por la verdad en relación con aquellos delitos contemplados en el art. 27 de la ley 13.634</w:t>
      </w:r>
      <w:r w:rsidRPr="005401B2">
        <w:rPr>
          <w:rFonts w:ascii="Arial" w:eastAsia="Arial" w:hAnsi="Arial" w:cs="Arial"/>
          <w:color w:val="000000"/>
          <w:sz w:val="20"/>
          <w:szCs w:val="20"/>
          <w:vertAlign w:val="superscript"/>
        </w:rPr>
        <w:footnoteReference w:id="16"/>
      </w:r>
      <w:r w:rsidRPr="005401B2">
        <w:rPr>
          <w:rFonts w:ascii="Arial" w:eastAsia="Arial" w:hAnsi="Arial" w:cs="Arial"/>
          <w:color w:val="000000"/>
          <w:sz w:val="20"/>
          <w:szCs w:val="20"/>
        </w:rPr>
        <w:t xml:space="preserve">. Estos casos gravísimos, de homicidios, violaciones o secuestros coactivos, merecen particular atención. Son casos sumamente delicados donde las víctimas tienen un plus en su garantía de acceder a la verdad demostrada por el poder judicial. Incluso, hasta podrían llegar a generar algún tipo de responsabilidad internacional del Estado por omisión en </w:t>
      </w:r>
      <w:r w:rsidRPr="005401B2">
        <w:rPr>
          <w:rFonts w:ascii="Arial" w:eastAsia="Arial" w:hAnsi="Arial" w:cs="Arial"/>
          <w:color w:val="000000"/>
          <w:sz w:val="20"/>
          <w:szCs w:val="20"/>
        </w:rPr>
        <w:lastRenderedPageBreak/>
        <w:t xml:space="preserve">sus deberes de investigación, por violación al art. 25 de la CADH. Se trata de casos en los que debe buscarse un equilibrio entre los derechos del niño o niña acusado, la víctima y la sociedad toda, y el Estado indefectiblemente debe brindar una respuesta activa. </w:t>
      </w:r>
    </w:p>
    <w:p w14:paraId="1E34FA32" w14:textId="77777777" w:rsidR="00F75B31" w:rsidRPr="005401B2" w:rsidRDefault="003B6350">
      <w:pPr>
        <w:pBdr>
          <w:top w:val="nil"/>
          <w:left w:val="nil"/>
          <w:bottom w:val="nil"/>
          <w:right w:val="nil"/>
          <w:between w:val="nil"/>
        </w:pBdr>
        <w:shd w:val="clear" w:color="auto" w:fill="FFFFFF"/>
        <w:spacing w:after="0" w:line="360" w:lineRule="auto"/>
        <w:ind w:left="720"/>
        <w:jc w:val="both"/>
        <w:rPr>
          <w:rFonts w:ascii="Arial" w:eastAsia="Arial" w:hAnsi="Arial" w:cs="Arial"/>
          <w:color w:val="000000"/>
          <w:sz w:val="20"/>
          <w:szCs w:val="20"/>
        </w:rPr>
      </w:pPr>
      <w:r w:rsidRPr="005401B2">
        <w:rPr>
          <w:rFonts w:ascii="Arial" w:eastAsia="Arial" w:hAnsi="Arial" w:cs="Arial"/>
          <w:color w:val="000000"/>
          <w:sz w:val="20"/>
          <w:szCs w:val="20"/>
        </w:rPr>
        <w:t>Todo ello, con independencia, de si correspondiera o no el dictado de una medida de seguridad por la peligrosidad del niño imputado. Recuerdo haber señalado que, en el caso de Mar del Plata, estas medidas se dictan por un lapso muy breve –no mayor a 4 meses-. No es el caso de varios departamentos del Conurbano, donde pueden superar los 2 años, lo que aparentaría apartarse de la manda convencional.</w:t>
      </w:r>
    </w:p>
    <w:p w14:paraId="716F0B5B" w14:textId="77777777" w:rsidR="00F75B31" w:rsidRPr="005401B2" w:rsidRDefault="003B6350">
      <w:pPr>
        <w:pBdr>
          <w:top w:val="nil"/>
          <w:left w:val="nil"/>
          <w:bottom w:val="nil"/>
          <w:right w:val="nil"/>
          <w:between w:val="nil"/>
        </w:pBdr>
        <w:shd w:val="clear" w:color="auto" w:fill="FFFFFF"/>
        <w:spacing w:after="0" w:line="360" w:lineRule="auto"/>
        <w:ind w:left="720"/>
        <w:jc w:val="both"/>
        <w:rPr>
          <w:rFonts w:ascii="Arial" w:eastAsia="Arial" w:hAnsi="Arial" w:cs="Arial"/>
          <w:color w:val="000000"/>
          <w:sz w:val="20"/>
          <w:szCs w:val="20"/>
        </w:rPr>
      </w:pPr>
      <w:r w:rsidRPr="005401B2">
        <w:rPr>
          <w:rFonts w:ascii="Arial" w:eastAsia="Arial" w:hAnsi="Arial" w:cs="Arial"/>
          <w:color w:val="000000"/>
          <w:sz w:val="20"/>
          <w:szCs w:val="20"/>
        </w:rPr>
        <w:t>Los juicios por la verdad, herramienta cada vez más utilizada en la jurisprudencia actual, más allá de los alcances de los crímenes cometidos por el Estado y especialmente en casos de abuso sexual infantil</w:t>
      </w:r>
      <w:r w:rsidRPr="005401B2">
        <w:rPr>
          <w:rFonts w:ascii="Arial" w:eastAsia="Arial" w:hAnsi="Arial" w:cs="Arial"/>
          <w:color w:val="000000"/>
          <w:sz w:val="20"/>
          <w:szCs w:val="20"/>
          <w:vertAlign w:val="superscript"/>
        </w:rPr>
        <w:footnoteReference w:id="17"/>
      </w:r>
      <w:r w:rsidRPr="005401B2">
        <w:rPr>
          <w:rFonts w:ascii="Arial" w:eastAsia="Arial" w:hAnsi="Arial" w:cs="Arial"/>
          <w:color w:val="000000"/>
          <w:sz w:val="20"/>
          <w:szCs w:val="20"/>
        </w:rPr>
        <w:t>, combinados en este caso con prácticas restaurativas, permitirían:</w:t>
      </w:r>
    </w:p>
    <w:p w14:paraId="4C138EEE" w14:textId="77777777" w:rsidR="00F75B31" w:rsidRPr="005401B2" w:rsidRDefault="003B6350">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Garantizar a la persona adolescente acusada de una conducta gravísima su defensa con todas las garantías procesales;</w:t>
      </w:r>
    </w:p>
    <w:p w14:paraId="255F1774" w14:textId="77777777" w:rsidR="00F75B31" w:rsidRPr="005401B2" w:rsidRDefault="003B6350">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Para el caso de que resulte autora del hecho, garantizarle que enfrente un juicio, y pueda sentir el dolor causado a la víctima y/o a sus familiares, como mecanismo de trabajo de su responsabilidad subjetiva. Simultáneamente, permite la elaboración de estrategias para evitar que se repita el hecho y lleve una vida en la que aporte a la sociedad, lo que podría buscarse a través del abordaje restaurativo.</w:t>
      </w:r>
    </w:p>
    <w:p w14:paraId="4C13928F" w14:textId="77777777" w:rsidR="00F75B31" w:rsidRPr="005401B2" w:rsidRDefault="003B6350">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Garantizar a la víctima y/o sus familiares que tenga una sentencia que dé cuenta detalladamente de cómo sucedieron los hechos como reparación de carácter simbólico.</w:t>
      </w:r>
    </w:p>
    <w:p w14:paraId="25EA547D" w14:textId="77777777" w:rsidR="00F75B31" w:rsidRPr="005401B2" w:rsidRDefault="003B6350">
      <w:pPr>
        <w:numPr>
          <w:ilvl w:val="0"/>
          <w:numId w:val="3"/>
        </w:numPr>
        <w:pBdr>
          <w:top w:val="nil"/>
          <w:left w:val="nil"/>
          <w:bottom w:val="nil"/>
          <w:right w:val="nil"/>
          <w:between w:val="nil"/>
        </w:pBdr>
        <w:shd w:val="clear" w:color="auto" w:fill="FFFFFF"/>
        <w:spacing w:after="0" w:line="360" w:lineRule="auto"/>
        <w:jc w:val="both"/>
        <w:rPr>
          <w:rFonts w:ascii="Arial" w:eastAsia="Arial" w:hAnsi="Arial" w:cs="Arial"/>
          <w:color w:val="000000"/>
          <w:sz w:val="20"/>
          <w:szCs w:val="20"/>
        </w:rPr>
      </w:pPr>
      <w:r w:rsidRPr="005401B2">
        <w:rPr>
          <w:rFonts w:ascii="Arial" w:eastAsia="Arial" w:hAnsi="Arial" w:cs="Arial"/>
          <w:color w:val="000000"/>
          <w:sz w:val="20"/>
          <w:szCs w:val="20"/>
        </w:rPr>
        <w:t xml:space="preserve"> Garantizar a la sociedad de que se realizaron una serie de actos desde la agencia judicial tendientes a abordar el caso, y generar los recursos necesarios para que éste no se reitere. </w:t>
      </w:r>
    </w:p>
    <w:p w14:paraId="29B7FF67"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Las recientes modificaciones legislativas de Entre Ríos, Santa Fe y Chaco avanzan en similar dirección</w:t>
      </w:r>
      <w:r w:rsidRPr="005401B2">
        <w:rPr>
          <w:rFonts w:ascii="Arial" w:eastAsia="Arial" w:hAnsi="Arial" w:cs="Arial"/>
          <w:sz w:val="20"/>
          <w:szCs w:val="20"/>
          <w:vertAlign w:val="superscript"/>
        </w:rPr>
        <w:footnoteReference w:id="18"/>
      </w:r>
      <w:r w:rsidRPr="005401B2">
        <w:rPr>
          <w:rFonts w:ascii="Arial" w:eastAsia="Arial" w:hAnsi="Arial" w:cs="Arial"/>
          <w:sz w:val="20"/>
          <w:szCs w:val="20"/>
        </w:rPr>
        <w:t>.</w:t>
      </w:r>
    </w:p>
    <w:p w14:paraId="7BDFEBD7" w14:textId="77777777" w:rsidR="00F75B31" w:rsidRPr="005401B2" w:rsidRDefault="003B6350" w:rsidP="001842E7">
      <w:pPr>
        <w:pStyle w:val="Ttulo2"/>
        <w:ind w:firstLine="708"/>
        <w:jc w:val="both"/>
        <w:rPr>
          <w:rFonts w:ascii="Arial" w:hAnsi="Arial" w:cs="Arial"/>
          <w:sz w:val="20"/>
          <w:szCs w:val="20"/>
        </w:rPr>
      </w:pPr>
      <w:bookmarkStart w:id="9" w:name="_heading=h.aayocvxy9fr7" w:colFirst="0" w:colLast="0"/>
      <w:bookmarkEnd w:id="9"/>
      <w:r w:rsidRPr="005401B2">
        <w:rPr>
          <w:rFonts w:ascii="Arial" w:hAnsi="Arial" w:cs="Arial"/>
          <w:sz w:val="20"/>
          <w:szCs w:val="20"/>
        </w:rPr>
        <w:t>V. Justicia especializada y políticas de persecución en materia de drogas</w:t>
      </w:r>
    </w:p>
    <w:p w14:paraId="5867A3E5"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Ahora detengámonos brevemente en la conexión entre las políticas de persecución en materia de drogas y la especialidad que requiere nuestra intervención como agencia judicial del sistema penal</w:t>
      </w:r>
      <w:r w:rsidRPr="005401B2">
        <w:rPr>
          <w:rFonts w:ascii="Arial" w:eastAsia="Arial" w:hAnsi="Arial" w:cs="Arial"/>
          <w:sz w:val="20"/>
          <w:szCs w:val="20"/>
          <w:vertAlign w:val="superscript"/>
        </w:rPr>
        <w:footnoteReference w:id="19"/>
      </w:r>
      <w:r w:rsidRPr="005401B2">
        <w:rPr>
          <w:rFonts w:ascii="Arial" w:eastAsia="Arial" w:hAnsi="Arial" w:cs="Arial"/>
          <w:sz w:val="20"/>
          <w:szCs w:val="20"/>
        </w:rPr>
        <w:t xml:space="preserve">. Sabido es que la problemática de las drogas atraviesa a los y las adolescentes en conflicto con la ley penal. </w:t>
      </w:r>
    </w:p>
    <w:p w14:paraId="1B076DB9"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 xml:space="preserve">Desde un plano general, las drogas, su consumo, su provisión, su venta, su persecución policial y su ilegalidad, son circunstancias que indefectiblemente se encuentran presentes en un número significativo de casos de nuestra competencia. La experiencia empírica nos demuestra, además, que este número es superior en su porcentaje cuando hablamos de casos graves. En el involucramiento de las personas adolescentes que han cometido delitos con las drogas, pueden distinguirse, en estas latitudes, tres situaciones diversas: i. la de la persona adolescente que consume drogas para delinquir, habitualmente robos; </w:t>
      </w:r>
      <w:proofErr w:type="spellStart"/>
      <w:r w:rsidRPr="005401B2">
        <w:rPr>
          <w:rFonts w:ascii="Arial" w:eastAsia="Arial" w:hAnsi="Arial" w:cs="Arial"/>
          <w:sz w:val="20"/>
          <w:szCs w:val="20"/>
        </w:rPr>
        <w:t>ii</w:t>
      </w:r>
      <w:proofErr w:type="spellEnd"/>
      <w:r w:rsidRPr="005401B2">
        <w:rPr>
          <w:rFonts w:ascii="Arial" w:eastAsia="Arial" w:hAnsi="Arial" w:cs="Arial"/>
          <w:sz w:val="20"/>
          <w:szCs w:val="20"/>
        </w:rPr>
        <w:t xml:space="preserve">. la de la persona adolescente adicto que delinque para consumir; </w:t>
      </w:r>
      <w:proofErr w:type="spellStart"/>
      <w:r w:rsidRPr="005401B2">
        <w:rPr>
          <w:rFonts w:ascii="Arial" w:eastAsia="Arial" w:hAnsi="Arial" w:cs="Arial"/>
          <w:sz w:val="20"/>
          <w:szCs w:val="20"/>
        </w:rPr>
        <w:t>iii</w:t>
      </w:r>
      <w:proofErr w:type="spellEnd"/>
      <w:r w:rsidRPr="005401B2">
        <w:rPr>
          <w:rFonts w:ascii="Arial" w:eastAsia="Arial" w:hAnsi="Arial" w:cs="Arial"/>
          <w:sz w:val="20"/>
          <w:szCs w:val="20"/>
        </w:rPr>
        <w:t>. la del adolescente que provee drogas, generalmente en fiestas o encuentros privados para abusar sexualmente, comúnmente de una adolescente.</w:t>
      </w:r>
    </w:p>
    <w:p w14:paraId="07090A68"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 xml:space="preserve">Desde el plano específico de la respuesta estatal vinculada con la resocialización y la restitución del derecho a la salud, resulta preocupante como, en muchas ocasiones, el abordaje del consumo problemático se convierte en la única respuesta disponible para abordar a los niños y niñas en conflicto con la ley penal. Pareciera ser una respuesta estandarizada, que no trabaja sobre la responsabilidad subjetiva, ni sobre los valores éticos de una sociedad democrática, sino que tiende a abordar exclusivamente un padecimiento de salud mental; el que incluso en muchas ocasiones, proviene de patologías que van más allá de la cuestión del consumo.  Cabe preguntarse al respecto si realmente se cree que se va a lograr la asunción de un rol constructivo en la sociedad sólo a partir del tratamiento de esta compleja problemática. </w:t>
      </w:r>
    </w:p>
    <w:p w14:paraId="00E0F41A"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sz w:val="20"/>
          <w:szCs w:val="20"/>
        </w:rPr>
        <w:t xml:space="preserve">Pareciera también estar dando vueltas la idea del determinismo </w:t>
      </w:r>
      <w:r w:rsidRPr="005401B2">
        <w:rPr>
          <w:rFonts w:ascii="Arial" w:eastAsia="Arial" w:hAnsi="Arial" w:cs="Arial"/>
          <w:i/>
          <w:sz w:val="20"/>
          <w:szCs w:val="20"/>
        </w:rPr>
        <w:t>pobreza-abandono-consumo-delito</w:t>
      </w:r>
      <w:r w:rsidRPr="005401B2">
        <w:rPr>
          <w:rFonts w:ascii="Arial" w:eastAsia="Arial" w:hAnsi="Arial" w:cs="Arial"/>
          <w:sz w:val="20"/>
          <w:szCs w:val="20"/>
        </w:rPr>
        <w:t>. Esto, ¿es realmente así? ¿Todo pibe excluido y con consumo comete delitos? Me niego a creer esto. Sí considero que pueden acercarse a ser seleccionados por las agencias policiales más fácilmente, pero reitero, de lo que se trata es de que se pueda reflexionar sobre el daño que se causa al otro</w:t>
      </w:r>
      <w:r w:rsidRPr="005401B2">
        <w:rPr>
          <w:rFonts w:ascii="Arial" w:eastAsia="Arial" w:hAnsi="Arial" w:cs="Arial"/>
          <w:sz w:val="20"/>
          <w:szCs w:val="20"/>
          <w:vertAlign w:val="superscript"/>
        </w:rPr>
        <w:footnoteReference w:id="20"/>
      </w:r>
      <w:r w:rsidRPr="005401B2">
        <w:rPr>
          <w:rFonts w:ascii="Arial" w:eastAsia="Arial" w:hAnsi="Arial" w:cs="Arial"/>
          <w:sz w:val="20"/>
          <w:szCs w:val="20"/>
        </w:rPr>
        <w:t xml:space="preserve">. </w:t>
      </w:r>
    </w:p>
    <w:p w14:paraId="51014563" w14:textId="77777777" w:rsidR="00F75B31" w:rsidRPr="005401B2" w:rsidRDefault="003B6350">
      <w:pPr>
        <w:shd w:val="clear" w:color="auto" w:fill="FFFFFF"/>
        <w:spacing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Finalmente, detengámonos en el análisis de lo que implica la especialidad cuando hablamos de la persecución de personas adolescentes por la comisión de delitos de drogas. Este es un fenómeno sociológico, antropológico, que, si bien hay algunos estudios </w:t>
      </w:r>
      <w:r w:rsidRPr="005401B2">
        <w:rPr>
          <w:rFonts w:ascii="Arial" w:eastAsia="Arial" w:hAnsi="Arial" w:cs="Arial"/>
          <w:sz w:val="20"/>
          <w:szCs w:val="20"/>
        </w:rPr>
        <w:lastRenderedPageBreak/>
        <w:t>preliminares, no ha recibido la importancia que particularmente merece. Para graficar mi pensamiento al respecto, entiendo que la situación de estos niños perseguidos penalmente, se asemeja a aquella de mujeres jefas de familia en situación de pobreza que también resultan perseguidas por estos delitos. Es decir, la mirada desde la especialidad, nos debería llevar a pensar que, en el mejor de los casos, estamos ante casos en los que se imputa penalmente al eslabón más bajo de la cadena de comercialización. Surgen, entonces, algunas preguntas desde la política criminal y la estrategia procesal del caso, desde la dogmática penal y desde la perspectiva de niñeces y derechos humanos.</w:t>
      </w:r>
    </w:p>
    <w:p w14:paraId="38CFCCCB" w14:textId="77777777" w:rsidR="00F75B31" w:rsidRPr="005401B2" w:rsidRDefault="003B6350">
      <w:pPr>
        <w:shd w:val="clear" w:color="auto" w:fill="FFFFFF"/>
        <w:spacing w:after="0" w:line="360" w:lineRule="auto"/>
        <w:ind w:firstLine="709"/>
        <w:jc w:val="both"/>
        <w:rPr>
          <w:rFonts w:ascii="Arial" w:eastAsia="Arial" w:hAnsi="Arial" w:cs="Arial"/>
          <w:sz w:val="20"/>
          <w:szCs w:val="20"/>
        </w:rPr>
      </w:pPr>
      <w:r w:rsidRPr="005401B2">
        <w:rPr>
          <w:rFonts w:ascii="Arial" w:eastAsia="Arial" w:hAnsi="Arial" w:cs="Arial"/>
          <w:b/>
          <w:sz w:val="20"/>
          <w:szCs w:val="20"/>
        </w:rPr>
        <w:t>i.</w:t>
      </w:r>
      <w:r w:rsidRPr="005401B2">
        <w:rPr>
          <w:rFonts w:ascii="Arial" w:eastAsia="Arial" w:hAnsi="Arial" w:cs="Arial"/>
          <w:sz w:val="20"/>
          <w:szCs w:val="20"/>
        </w:rPr>
        <w:t xml:space="preserve"> Desde la política criminal o desde la estrategia procesal del caso, deberíamos preguntarnos, ¿es conveniente criminalizar a estos niños, niñas y adolescentes, o resulta más adecuado y eficiente que sean testigos de la organización criminal con las que se relacionan e ir subiendo en la cadena? Estimo conveniente esto último, en consonancia con la posición vertida por la Corte Suprema de Justicia de la Nación en relación con los usuarios de estupefacientes en el caso </w:t>
      </w:r>
      <w:r w:rsidRPr="005401B2">
        <w:rPr>
          <w:rFonts w:ascii="Arial" w:eastAsia="Arial" w:hAnsi="Arial" w:cs="Arial"/>
          <w:i/>
          <w:sz w:val="20"/>
          <w:szCs w:val="20"/>
        </w:rPr>
        <w:t>Arriola</w:t>
      </w:r>
      <w:r w:rsidRPr="005401B2">
        <w:rPr>
          <w:rFonts w:ascii="Arial" w:eastAsia="Arial" w:hAnsi="Arial" w:cs="Arial"/>
          <w:sz w:val="20"/>
          <w:szCs w:val="20"/>
          <w:vertAlign w:val="superscript"/>
        </w:rPr>
        <w:footnoteReference w:id="21"/>
      </w:r>
      <w:r w:rsidRPr="005401B2">
        <w:rPr>
          <w:rFonts w:ascii="Arial" w:eastAsia="Arial" w:hAnsi="Arial" w:cs="Arial"/>
          <w:sz w:val="20"/>
          <w:szCs w:val="20"/>
        </w:rPr>
        <w:t xml:space="preserve">. </w:t>
      </w:r>
    </w:p>
    <w:p w14:paraId="16F06748" w14:textId="77777777" w:rsidR="00F75B31" w:rsidRPr="005401B2" w:rsidRDefault="003B6350">
      <w:pPr>
        <w:shd w:val="clear" w:color="auto" w:fill="FFFFFF"/>
        <w:spacing w:after="0" w:line="360" w:lineRule="auto"/>
        <w:ind w:firstLine="709"/>
        <w:jc w:val="both"/>
        <w:rPr>
          <w:rFonts w:ascii="Arial" w:eastAsia="Arial" w:hAnsi="Arial" w:cs="Arial"/>
          <w:color w:val="000000"/>
          <w:sz w:val="20"/>
          <w:szCs w:val="20"/>
        </w:rPr>
      </w:pPr>
      <w:r w:rsidRPr="005401B2">
        <w:rPr>
          <w:rFonts w:ascii="Arial" w:eastAsia="Arial" w:hAnsi="Arial" w:cs="Arial"/>
          <w:sz w:val="20"/>
          <w:szCs w:val="20"/>
        </w:rPr>
        <w:t>Aquí dos pequeñas observaciones normativas. Por un lado, reiterar que conforme el art. 40 de la ley 13.634, las y los fiscales pueden aplicar el principio de oportunidad cada vez que “</w:t>
      </w:r>
      <w:r w:rsidRPr="005401B2">
        <w:rPr>
          <w:rFonts w:ascii="Arial" w:eastAsia="Arial" w:hAnsi="Arial" w:cs="Arial"/>
          <w:color w:val="000000"/>
          <w:sz w:val="20"/>
          <w:szCs w:val="20"/>
        </w:rPr>
        <w:t xml:space="preserve">consideren que ello resulta conveniente para la mejor solución del conflicto jurídico penal o para el futuro del niño”. Por el otro, el art. 66 de la referida ley, sin percatarse de la radical importancia de la especialización en la persecución de delitos complejos, le asigna competencia al Fiscal del Joven para que practique la investigación penal preparatoria cuando en hechos criminales o correccionales se encuentren imputados conjuntamente niños y mayores, o hubiere delitos conexos”, aunque </w:t>
      </w:r>
    </w:p>
    <w:p w14:paraId="1FB6FF56" w14:textId="77777777" w:rsidR="00F75B31" w:rsidRPr="005401B2" w:rsidRDefault="003B6350">
      <w:pPr>
        <w:shd w:val="clear" w:color="auto" w:fill="FFFFFF"/>
        <w:spacing w:after="0" w:line="360" w:lineRule="auto"/>
        <w:ind w:left="709"/>
        <w:jc w:val="both"/>
        <w:rPr>
          <w:rFonts w:ascii="Arial" w:eastAsia="Arial" w:hAnsi="Arial" w:cs="Arial"/>
          <w:color w:val="000000"/>
          <w:sz w:val="20"/>
          <w:szCs w:val="20"/>
        </w:rPr>
      </w:pPr>
      <w:r w:rsidRPr="005401B2">
        <w:rPr>
          <w:rFonts w:ascii="Arial" w:eastAsia="Arial" w:hAnsi="Arial" w:cs="Arial"/>
          <w:color w:val="000000"/>
          <w:sz w:val="20"/>
          <w:szCs w:val="20"/>
        </w:rPr>
        <w:t xml:space="preserve">cuando la complejidad del caso lo justifique, podrá requerir del </w:t>
      </w:r>
      <w:proofErr w:type="gramStart"/>
      <w:r w:rsidRPr="005401B2">
        <w:rPr>
          <w:rFonts w:ascii="Arial" w:eastAsia="Arial" w:hAnsi="Arial" w:cs="Arial"/>
          <w:color w:val="000000"/>
          <w:sz w:val="20"/>
          <w:szCs w:val="20"/>
        </w:rPr>
        <w:t>Fiscal General</w:t>
      </w:r>
      <w:proofErr w:type="gramEnd"/>
      <w:r w:rsidRPr="005401B2">
        <w:rPr>
          <w:rFonts w:ascii="Arial" w:eastAsia="Arial" w:hAnsi="Arial" w:cs="Arial"/>
          <w:color w:val="000000"/>
          <w:sz w:val="20"/>
          <w:szCs w:val="20"/>
        </w:rPr>
        <w:t xml:space="preserve"> la asignación de un Fiscal no especializado que, tome a su cargo la persecución penal con relación a los coimputados mayores</w:t>
      </w:r>
    </w:p>
    <w:p w14:paraId="4A6E5956" w14:textId="77777777" w:rsidR="00F75B31" w:rsidRPr="005401B2" w:rsidRDefault="003B6350">
      <w:pPr>
        <w:shd w:val="clear" w:color="auto" w:fill="FFFFFF"/>
        <w:spacing w:before="120"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Si bien se prevé una compleja excepción, parecería que para casos en los que hay organizaciones criminales detrás, o problemáticas estructurales complejas, como lo es el narcotráfico, el Fiscal especializado en Drogas, es quien está en mejores condiciones de realizar la investigación, y concentrar la ya fraccionada instrucción del caso, debiendo tener el Fiscal del Fuero su intervención acotada a la persona menor de edad involucrada. El Fiscal especializado en Drogas está familiarizado con esta clase de delitos, cuenta con </w:t>
      </w:r>
      <w:r w:rsidRPr="005401B2">
        <w:rPr>
          <w:rFonts w:ascii="Arial" w:eastAsia="Arial" w:hAnsi="Arial" w:cs="Arial"/>
          <w:sz w:val="20"/>
          <w:szCs w:val="20"/>
        </w:rPr>
        <w:lastRenderedPageBreak/>
        <w:t>mayor información y mayores herramientas a su alcance para avanzar en los restantes eslabones de la organización, de ser el caso, y es quien coordina su labor con la Justicia Federal, de corresponder. Éstas son razones de más valederas, como para que, en esta clase de delitos, retenga su competencia. En Mar del Plata, la práctica tribunalicia ha llevado a que así se haga.</w:t>
      </w:r>
    </w:p>
    <w:p w14:paraId="066622F2"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b/>
          <w:sz w:val="20"/>
          <w:szCs w:val="20"/>
        </w:rPr>
        <w:tab/>
      </w:r>
      <w:proofErr w:type="spellStart"/>
      <w:r w:rsidRPr="005401B2">
        <w:rPr>
          <w:rFonts w:ascii="Arial" w:eastAsia="Arial" w:hAnsi="Arial" w:cs="Arial"/>
          <w:b/>
          <w:sz w:val="20"/>
          <w:szCs w:val="20"/>
        </w:rPr>
        <w:t>ii</w:t>
      </w:r>
      <w:proofErr w:type="spellEnd"/>
      <w:r w:rsidRPr="005401B2">
        <w:rPr>
          <w:rFonts w:ascii="Arial" w:eastAsia="Arial" w:hAnsi="Arial" w:cs="Arial"/>
          <w:b/>
          <w:sz w:val="20"/>
          <w:szCs w:val="20"/>
        </w:rPr>
        <w:t>.</w:t>
      </w:r>
      <w:r w:rsidRPr="005401B2">
        <w:rPr>
          <w:rFonts w:ascii="Arial" w:eastAsia="Arial" w:hAnsi="Arial" w:cs="Arial"/>
          <w:sz w:val="20"/>
          <w:szCs w:val="20"/>
        </w:rPr>
        <w:t xml:space="preserve"> Desde la dogmática penal, deberíamos preguntarnos si en estos casos de participación de adolescentes en organizaciones criminales complejas, no puede mediar en relación a estos niños una “causa de justificación disculpante”, dado contexto específico y su situación de personas en desarrollo, de conformidad con el art. 34 inc. 2 del C.P. O bien, de una incapacidad de reproche, por la imposibilidad de exigir otra conducta, por el acotamiento de su autodeterminación, sea por una situación de consumo gravemente problemático asociado al delito que se le imputa</w:t>
      </w:r>
      <w:r w:rsidRPr="005401B2">
        <w:rPr>
          <w:rFonts w:ascii="Arial" w:eastAsia="Arial" w:hAnsi="Arial" w:cs="Arial"/>
          <w:sz w:val="20"/>
          <w:szCs w:val="20"/>
          <w:vertAlign w:val="superscript"/>
        </w:rPr>
        <w:footnoteReference w:id="22"/>
      </w:r>
      <w:r w:rsidRPr="005401B2">
        <w:rPr>
          <w:rFonts w:ascii="Arial" w:eastAsia="Arial" w:hAnsi="Arial" w:cs="Arial"/>
          <w:sz w:val="20"/>
          <w:szCs w:val="20"/>
        </w:rPr>
        <w:t xml:space="preserve">, sea por la pertenencia a determinada organización. Como señala </w:t>
      </w:r>
      <w:proofErr w:type="spellStart"/>
      <w:r w:rsidRPr="005401B2">
        <w:rPr>
          <w:rFonts w:ascii="Arial" w:eastAsia="Arial" w:hAnsi="Arial" w:cs="Arial"/>
          <w:sz w:val="20"/>
          <w:szCs w:val="20"/>
        </w:rPr>
        <w:t>Axat</w:t>
      </w:r>
      <w:proofErr w:type="spellEnd"/>
      <w:r w:rsidRPr="005401B2">
        <w:rPr>
          <w:rFonts w:ascii="Arial" w:eastAsia="Arial" w:hAnsi="Arial" w:cs="Arial"/>
          <w:sz w:val="20"/>
          <w:szCs w:val="20"/>
        </w:rPr>
        <w:t>, las personas adolescentes involucradas en esta clase de delitos, suelen vivir en absoluta pobreza y se transforman en el eslabón más vulnerable al “perfilamiento” y “acoso” de organizaciones criminales”</w:t>
      </w:r>
      <w:r w:rsidRPr="005401B2">
        <w:rPr>
          <w:rFonts w:ascii="Arial" w:eastAsia="Arial" w:hAnsi="Arial" w:cs="Arial"/>
          <w:sz w:val="20"/>
          <w:szCs w:val="20"/>
          <w:vertAlign w:val="superscript"/>
        </w:rPr>
        <w:footnoteReference w:id="23"/>
      </w:r>
      <w:r w:rsidRPr="005401B2">
        <w:rPr>
          <w:rFonts w:ascii="Arial" w:eastAsia="Arial" w:hAnsi="Arial" w:cs="Arial"/>
          <w:sz w:val="20"/>
          <w:szCs w:val="20"/>
        </w:rPr>
        <w:t xml:space="preserve">. </w:t>
      </w:r>
    </w:p>
    <w:p w14:paraId="17574435"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sz w:val="20"/>
          <w:szCs w:val="20"/>
        </w:rPr>
        <w:tab/>
        <w:t>Incluso deben observarse claramente las circunstancias del caso, y determinar o descartar la aplicación de la excusa absolutoria receptada por el art. 5 de la ley de trata; lo que demandaría una mirada conglobante del fenómeno delictivo que hay detrás de la persona adolescente imputada. En esta clase de fenómenos puede llegar a haber trata con fines de reducción a la servidumbre. De hecho, la Justicia Federal de Rosario, en más de una ocasión, ha utilizado esta figura para desincriminar a niños acusados de vender droga</w:t>
      </w:r>
      <w:r w:rsidRPr="005401B2">
        <w:rPr>
          <w:rFonts w:ascii="Arial" w:eastAsia="Arial" w:hAnsi="Arial" w:cs="Arial"/>
          <w:sz w:val="20"/>
          <w:szCs w:val="20"/>
          <w:vertAlign w:val="superscript"/>
        </w:rPr>
        <w:footnoteReference w:id="24"/>
      </w:r>
      <w:r w:rsidRPr="005401B2">
        <w:rPr>
          <w:rFonts w:ascii="Arial" w:eastAsia="Arial" w:hAnsi="Arial" w:cs="Arial"/>
          <w:sz w:val="20"/>
          <w:szCs w:val="20"/>
        </w:rPr>
        <w:t>. Las descripciones de los hechos de aquellos casos rosarinos no se diferencian mucho de algunos otros en suelo bonaerense y de un puñado en nuestros territorios</w:t>
      </w:r>
      <w:r w:rsidRPr="005401B2">
        <w:rPr>
          <w:rFonts w:ascii="Arial" w:eastAsia="Arial" w:hAnsi="Arial" w:cs="Arial"/>
          <w:sz w:val="20"/>
          <w:szCs w:val="20"/>
          <w:vertAlign w:val="superscript"/>
        </w:rPr>
        <w:footnoteReference w:id="25"/>
      </w:r>
      <w:r w:rsidRPr="005401B2">
        <w:rPr>
          <w:rFonts w:ascii="Arial" w:eastAsia="Arial" w:hAnsi="Arial" w:cs="Arial"/>
          <w:sz w:val="20"/>
          <w:szCs w:val="20"/>
        </w:rPr>
        <w:t>.</w:t>
      </w:r>
    </w:p>
    <w:p w14:paraId="09E051C4"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sz w:val="20"/>
          <w:szCs w:val="20"/>
        </w:rPr>
        <w:tab/>
        <w:t xml:space="preserve">Esta perspectiva va en consonancia también con las observaciones realizadas por la Comisión Interamericana de Derechos Humanos, en un informe temático específico sobre Violencia, Niñez y Crimen Organizado. En este indicó que:  </w:t>
      </w:r>
    </w:p>
    <w:p w14:paraId="7DAD7BA1" w14:textId="77777777" w:rsidR="00F75B31" w:rsidRPr="005401B2" w:rsidRDefault="003B6350">
      <w:pPr>
        <w:shd w:val="clear" w:color="auto" w:fill="FFFFFF"/>
        <w:spacing w:after="0" w:line="360" w:lineRule="auto"/>
        <w:ind w:left="708"/>
        <w:jc w:val="both"/>
        <w:rPr>
          <w:rFonts w:ascii="Arial" w:eastAsia="Arial" w:hAnsi="Arial" w:cs="Arial"/>
          <w:sz w:val="20"/>
          <w:szCs w:val="20"/>
        </w:rPr>
      </w:pPr>
      <w:r w:rsidRPr="005401B2">
        <w:rPr>
          <w:rFonts w:ascii="Arial" w:eastAsia="Arial" w:hAnsi="Arial" w:cs="Arial"/>
          <w:sz w:val="20"/>
          <w:szCs w:val="20"/>
        </w:rPr>
        <w:lastRenderedPageBreak/>
        <w:t>En las últimas décadas ha crecido considerablemente el número de adolescentes vinculados a delitos relacionados con el tráfico de drogas, lo cual apunta a una utilización y explotación mayor por parte de las organizaciones criminales de este sector de la población debido a sus condiciones de vulnerabilidad. Esta tendencia es compartida en todos los países en la región</w:t>
      </w:r>
      <w:r w:rsidRPr="005401B2">
        <w:rPr>
          <w:rFonts w:ascii="Arial" w:eastAsia="Arial" w:hAnsi="Arial" w:cs="Arial"/>
          <w:sz w:val="20"/>
          <w:szCs w:val="20"/>
          <w:vertAlign w:val="superscript"/>
        </w:rPr>
        <w:footnoteReference w:id="26"/>
      </w:r>
    </w:p>
    <w:p w14:paraId="036CCEDF" w14:textId="77777777" w:rsidR="00F75B31" w:rsidRPr="005401B2" w:rsidRDefault="003B6350">
      <w:pPr>
        <w:shd w:val="clear" w:color="auto" w:fill="FFFFFF"/>
        <w:spacing w:before="120" w:after="0" w:line="360" w:lineRule="auto"/>
        <w:ind w:firstLine="708"/>
        <w:jc w:val="both"/>
        <w:rPr>
          <w:rFonts w:ascii="Arial" w:eastAsia="Arial" w:hAnsi="Arial" w:cs="Arial"/>
          <w:sz w:val="20"/>
          <w:szCs w:val="20"/>
        </w:rPr>
      </w:pPr>
      <w:proofErr w:type="spellStart"/>
      <w:r w:rsidRPr="005401B2">
        <w:rPr>
          <w:rFonts w:ascii="Arial" w:eastAsia="Arial" w:hAnsi="Arial" w:cs="Arial"/>
          <w:b/>
          <w:sz w:val="20"/>
          <w:szCs w:val="20"/>
        </w:rPr>
        <w:t>iii</w:t>
      </w:r>
      <w:proofErr w:type="spellEnd"/>
      <w:r w:rsidRPr="005401B2">
        <w:rPr>
          <w:rFonts w:ascii="Arial" w:eastAsia="Arial" w:hAnsi="Arial" w:cs="Arial"/>
          <w:b/>
          <w:sz w:val="20"/>
          <w:szCs w:val="20"/>
        </w:rPr>
        <w:t>.</w:t>
      </w:r>
      <w:r w:rsidRPr="005401B2">
        <w:rPr>
          <w:rFonts w:ascii="Arial" w:eastAsia="Arial" w:hAnsi="Arial" w:cs="Arial"/>
          <w:sz w:val="20"/>
          <w:szCs w:val="20"/>
        </w:rPr>
        <w:t xml:space="preserve"> Finalmente, desde la perspectiva de niñeces y derechos humanos, habría que preguntarse, ¿qué es lo que ha llevado a esta persona adolescente a estar en esta situación? ¿No está en una situación de riesgo? ¿Qué derechos tiene vulnerados? ¿Y sus responsables legales? ¿Qué rol cumplen? ¿Qué obligaciones tienen? ¿Qué tipo de abordaje debería realizar para poder apartarse? ¿Está en condiciones de hacerlo?</w:t>
      </w:r>
    </w:p>
    <w:p w14:paraId="0048EC66" w14:textId="77777777" w:rsidR="00F75B31" w:rsidRPr="005401B2" w:rsidRDefault="003B6350">
      <w:pPr>
        <w:shd w:val="clear" w:color="auto" w:fill="FFFFFF"/>
        <w:spacing w:after="0" w:line="360" w:lineRule="auto"/>
        <w:jc w:val="both"/>
        <w:rPr>
          <w:rFonts w:ascii="Arial" w:eastAsia="Arial" w:hAnsi="Arial" w:cs="Arial"/>
          <w:sz w:val="20"/>
          <w:szCs w:val="20"/>
        </w:rPr>
      </w:pPr>
      <w:r w:rsidRPr="005401B2">
        <w:rPr>
          <w:rFonts w:ascii="Arial" w:eastAsia="Arial" w:hAnsi="Arial" w:cs="Arial"/>
          <w:sz w:val="20"/>
          <w:szCs w:val="20"/>
        </w:rPr>
        <w:tab/>
        <w:t>La Comisión Interamericana ha sido clara respecto del punto de partida de la intervención estatal relacionadas con esta clase de casos:</w:t>
      </w:r>
    </w:p>
    <w:p w14:paraId="08A1BF0E" w14:textId="2D6E1994" w:rsidR="00F75B31" w:rsidRPr="005401B2" w:rsidRDefault="003B6350">
      <w:pPr>
        <w:shd w:val="clear" w:color="auto" w:fill="FFFFFF"/>
        <w:spacing w:after="0" w:line="360" w:lineRule="auto"/>
        <w:ind w:left="709"/>
        <w:jc w:val="both"/>
        <w:rPr>
          <w:rFonts w:ascii="Arial" w:eastAsia="Arial" w:hAnsi="Arial" w:cs="Arial"/>
          <w:sz w:val="20"/>
          <w:szCs w:val="20"/>
        </w:rPr>
      </w:pPr>
      <w:r w:rsidRPr="005401B2">
        <w:rPr>
          <w:rFonts w:ascii="Arial" w:eastAsia="Arial" w:hAnsi="Arial" w:cs="Arial"/>
          <w:sz w:val="20"/>
          <w:szCs w:val="20"/>
        </w:rPr>
        <w:t>Los Estados deben partir de la premisa que los niños y adolescentes que se integran en estructuras delictivas provienen de situaciones de privación de derechos y vulnerabilidad frente a las que los Estados no han tenido la capacidad para prestar una protección adecuada. La respuesta de los Estados frente a niños, niñas y adolescentes que han sido captados por organizaciones criminales debe estar basada en la protección integral de los derechos de los niños y su rehabilitación y reintegración social, y no en la represión y la criminalización</w:t>
      </w:r>
      <w:r w:rsidR="00E97BF4" w:rsidRPr="005401B2">
        <w:rPr>
          <w:rFonts w:ascii="Arial" w:eastAsia="Arial" w:hAnsi="Arial" w:cs="Arial"/>
          <w:sz w:val="20"/>
          <w:szCs w:val="20"/>
        </w:rPr>
        <w:t xml:space="preserve"> </w:t>
      </w:r>
      <w:r w:rsidRPr="005401B2">
        <w:rPr>
          <w:rFonts w:ascii="Arial" w:eastAsia="Arial" w:hAnsi="Arial" w:cs="Arial"/>
          <w:sz w:val="20"/>
          <w:szCs w:val="20"/>
        </w:rPr>
        <w:t>(CIDH,2015,</w:t>
      </w:r>
      <w:r w:rsidR="00E97BF4" w:rsidRPr="005401B2">
        <w:rPr>
          <w:rFonts w:ascii="Arial" w:eastAsia="Arial" w:hAnsi="Arial" w:cs="Arial"/>
          <w:sz w:val="20"/>
          <w:szCs w:val="20"/>
        </w:rPr>
        <w:t xml:space="preserve"> </w:t>
      </w:r>
      <w:r w:rsidRPr="005401B2">
        <w:rPr>
          <w:rFonts w:ascii="Arial" w:eastAsia="Arial" w:hAnsi="Arial" w:cs="Arial"/>
          <w:sz w:val="20"/>
          <w:szCs w:val="20"/>
        </w:rPr>
        <w:t>p.243)</w:t>
      </w:r>
      <w:r w:rsidRPr="005401B2">
        <w:rPr>
          <w:rFonts w:ascii="Arial" w:eastAsia="Arial" w:hAnsi="Arial" w:cs="Arial"/>
          <w:sz w:val="20"/>
          <w:szCs w:val="20"/>
          <w:vertAlign w:val="superscript"/>
        </w:rPr>
        <w:footnoteReference w:id="27"/>
      </w:r>
      <w:r w:rsidRPr="005401B2">
        <w:rPr>
          <w:rFonts w:ascii="Arial" w:eastAsia="Arial" w:hAnsi="Arial" w:cs="Arial"/>
          <w:sz w:val="20"/>
          <w:szCs w:val="20"/>
        </w:rPr>
        <w:t>.</w:t>
      </w:r>
    </w:p>
    <w:p w14:paraId="5170E285" w14:textId="77777777" w:rsidR="00F75B31" w:rsidRPr="005401B2" w:rsidRDefault="003B6350">
      <w:pPr>
        <w:pStyle w:val="Ttulo2"/>
        <w:ind w:firstLine="708"/>
        <w:jc w:val="both"/>
        <w:rPr>
          <w:rFonts w:ascii="Arial" w:hAnsi="Arial" w:cs="Arial"/>
          <w:sz w:val="20"/>
          <w:szCs w:val="20"/>
        </w:rPr>
      </w:pPr>
      <w:bookmarkStart w:id="10" w:name="_heading=h.at4m70naqhyy" w:colFirst="0" w:colLast="0"/>
      <w:bookmarkStart w:id="11" w:name="_heading=h.lnzyvjj2j4oy" w:colFirst="0" w:colLast="0"/>
      <w:bookmarkEnd w:id="10"/>
      <w:bookmarkEnd w:id="11"/>
      <w:r w:rsidRPr="005401B2">
        <w:rPr>
          <w:rFonts w:ascii="Arial" w:hAnsi="Arial" w:cs="Arial"/>
          <w:sz w:val="20"/>
          <w:szCs w:val="20"/>
        </w:rPr>
        <w:t xml:space="preserve"> VI. Hacia una verdadera justicia especializada</w:t>
      </w:r>
    </w:p>
    <w:p w14:paraId="72AEE30D" w14:textId="77777777" w:rsidR="00F75B31" w:rsidRPr="005401B2" w:rsidRDefault="003B6350">
      <w:pPr>
        <w:shd w:val="clear" w:color="auto" w:fill="FFFFFF"/>
        <w:spacing w:before="120" w:after="0" w:line="360" w:lineRule="auto"/>
        <w:ind w:firstLine="708"/>
        <w:jc w:val="both"/>
        <w:rPr>
          <w:rFonts w:ascii="Arial" w:eastAsia="Arial" w:hAnsi="Arial" w:cs="Arial"/>
          <w:sz w:val="20"/>
          <w:szCs w:val="20"/>
        </w:rPr>
      </w:pPr>
      <w:r w:rsidRPr="005401B2">
        <w:rPr>
          <w:rFonts w:ascii="Arial" w:eastAsia="Arial" w:hAnsi="Arial" w:cs="Arial"/>
          <w:sz w:val="20"/>
          <w:szCs w:val="20"/>
        </w:rPr>
        <w:t xml:space="preserve">Estas son algunas ideas preliminares que se inscriben como líneas para seguir pensando y reflexionando, en el convencimiento de que la actividad del fuero de responsabilidad penal juvenil debe dejar de ser sólo un “mini sistema penal de adultos” para convertirse en un verdadero sistema alternativo, diverso a éste. Sistema que, partiendo desde una óptica que tienda a aportar soluciones a los conflictos sociales, desde una perspectiva de territorialidad, justicia restaurativa y prevención vincular, a través de una mirada transversal, aprovechando los saberes de las diversas ciencias, con empatía, sensibilidad, cercanía a las víctimas y a las personas imputadas, profesionalismo y desburocratización, se convierta en un faro a seguir por todo el sistema penal. </w:t>
      </w:r>
    </w:p>
    <w:p w14:paraId="3A4968A7" w14:textId="77777777" w:rsidR="00F75B31" w:rsidRPr="005401B2" w:rsidRDefault="00F75B31">
      <w:pPr>
        <w:shd w:val="clear" w:color="auto" w:fill="FFFFFF"/>
        <w:spacing w:before="120" w:after="0" w:line="360" w:lineRule="auto"/>
        <w:jc w:val="both"/>
        <w:rPr>
          <w:rFonts w:ascii="Arial" w:eastAsia="Arial" w:hAnsi="Arial" w:cs="Arial"/>
          <w:b/>
          <w:sz w:val="20"/>
          <w:szCs w:val="20"/>
        </w:rPr>
      </w:pPr>
    </w:p>
    <w:p w14:paraId="2D409D1F" w14:textId="77777777" w:rsidR="00F75B31" w:rsidRPr="005401B2" w:rsidRDefault="00F75B31">
      <w:pPr>
        <w:shd w:val="clear" w:color="auto" w:fill="FFFFFF"/>
        <w:spacing w:before="120" w:after="0" w:line="360" w:lineRule="auto"/>
        <w:jc w:val="both"/>
        <w:rPr>
          <w:rFonts w:ascii="Arial" w:eastAsia="Arial" w:hAnsi="Arial" w:cs="Arial"/>
          <w:b/>
          <w:sz w:val="20"/>
          <w:szCs w:val="20"/>
        </w:rPr>
      </w:pPr>
    </w:p>
    <w:p w14:paraId="22D8688F" w14:textId="77777777" w:rsidR="00F75B31" w:rsidRPr="005401B2" w:rsidRDefault="00F75B31">
      <w:pPr>
        <w:shd w:val="clear" w:color="auto" w:fill="FFFFFF"/>
        <w:spacing w:before="120" w:after="0" w:line="360" w:lineRule="auto"/>
        <w:jc w:val="both"/>
        <w:rPr>
          <w:rFonts w:ascii="Arial" w:eastAsia="Arial" w:hAnsi="Arial" w:cs="Arial"/>
          <w:b/>
          <w:sz w:val="20"/>
          <w:szCs w:val="20"/>
        </w:rPr>
      </w:pPr>
    </w:p>
    <w:p w14:paraId="632FF590" w14:textId="77777777" w:rsidR="00F75B31" w:rsidRPr="005401B2" w:rsidRDefault="003B6350">
      <w:pPr>
        <w:rPr>
          <w:rFonts w:ascii="Arial" w:eastAsia="Arial" w:hAnsi="Arial" w:cs="Arial"/>
          <w:b/>
          <w:sz w:val="20"/>
          <w:szCs w:val="20"/>
        </w:rPr>
      </w:pPr>
      <w:r w:rsidRPr="005401B2">
        <w:rPr>
          <w:rFonts w:ascii="Arial" w:hAnsi="Arial" w:cs="Arial"/>
          <w:sz w:val="20"/>
          <w:szCs w:val="20"/>
        </w:rPr>
        <w:br w:type="page"/>
      </w:r>
    </w:p>
    <w:p w14:paraId="41EC7752" w14:textId="77777777" w:rsidR="00F75B31" w:rsidRPr="005401B2" w:rsidRDefault="003B6350">
      <w:pPr>
        <w:pStyle w:val="Ttulo2"/>
        <w:shd w:val="clear" w:color="auto" w:fill="FFFFFF"/>
        <w:spacing w:before="120" w:after="0" w:line="360" w:lineRule="auto"/>
        <w:jc w:val="both"/>
        <w:rPr>
          <w:rFonts w:ascii="Arial" w:hAnsi="Arial" w:cs="Arial"/>
          <w:sz w:val="20"/>
          <w:szCs w:val="20"/>
        </w:rPr>
      </w:pPr>
      <w:bookmarkStart w:id="12" w:name="_heading=h.ilchetcimyiz" w:colFirst="0" w:colLast="0"/>
      <w:bookmarkEnd w:id="12"/>
      <w:r w:rsidRPr="005401B2">
        <w:rPr>
          <w:rFonts w:ascii="Arial" w:hAnsi="Arial" w:cs="Arial"/>
          <w:sz w:val="20"/>
          <w:szCs w:val="20"/>
        </w:rPr>
        <w:lastRenderedPageBreak/>
        <w:t>Bibliografía</w:t>
      </w:r>
    </w:p>
    <w:p w14:paraId="27AA4EBF" w14:textId="11F769B5" w:rsidR="00F75B31" w:rsidRPr="005401B2" w:rsidRDefault="003B6350">
      <w:pPr>
        <w:shd w:val="clear" w:color="auto" w:fill="FFFFFF"/>
        <w:spacing w:before="120" w:after="0" w:line="360" w:lineRule="auto"/>
        <w:jc w:val="both"/>
        <w:rPr>
          <w:rFonts w:ascii="Arial" w:eastAsia="Arial" w:hAnsi="Arial" w:cs="Arial"/>
          <w:sz w:val="20"/>
          <w:szCs w:val="20"/>
        </w:rPr>
      </w:pPr>
      <w:r w:rsidRPr="005401B2">
        <w:rPr>
          <w:rFonts w:ascii="Arial" w:eastAsia="Arial" w:hAnsi="Arial" w:cs="Arial"/>
          <w:sz w:val="20"/>
          <w:szCs w:val="20"/>
        </w:rPr>
        <w:t>Adler, D. E. (2021).</w:t>
      </w:r>
      <w:r w:rsidR="007E6D52" w:rsidRPr="005401B2">
        <w:rPr>
          <w:rFonts w:ascii="Arial" w:eastAsia="Arial" w:hAnsi="Arial" w:cs="Arial"/>
          <w:sz w:val="20"/>
          <w:szCs w:val="20"/>
        </w:rPr>
        <w:t xml:space="preserve"> </w:t>
      </w:r>
      <w:r w:rsidRPr="005401B2">
        <w:rPr>
          <w:rFonts w:ascii="Arial" w:eastAsia="Arial" w:hAnsi="Arial" w:cs="Arial"/>
          <w:sz w:val="20"/>
          <w:szCs w:val="20"/>
        </w:rPr>
        <w:t>La justicia penal juvenil desde la perspectiva del niño víctima: hacia un cambio de paradigma.</w:t>
      </w:r>
      <w:r w:rsidR="00201B39" w:rsidRPr="005401B2">
        <w:rPr>
          <w:rFonts w:ascii="Arial" w:eastAsia="Arial" w:hAnsi="Arial" w:cs="Arial"/>
          <w:sz w:val="20"/>
          <w:szCs w:val="20"/>
        </w:rPr>
        <w:t xml:space="preserve"> </w:t>
      </w:r>
      <w:r w:rsidRPr="005401B2">
        <w:rPr>
          <w:rFonts w:ascii="Arial" w:eastAsia="Arial" w:hAnsi="Arial" w:cs="Arial"/>
          <w:i/>
          <w:sz w:val="20"/>
          <w:szCs w:val="20"/>
        </w:rPr>
        <w:t>Rev. Pena y Estado</w:t>
      </w:r>
      <w:r w:rsidR="00C066C0">
        <w:rPr>
          <w:rFonts w:ascii="Arial" w:eastAsia="Arial" w:hAnsi="Arial" w:cs="Arial"/>
          <w:sz w:val="20"/>
          <w:szCs w:val="20"/>
        </w:rPr>
        <w:t xml:space="preserve"> </w:t>
      </w:r>
      <w:r w:rsidRPr="005401B2">
        <w:rPr>
          <w:rFonts w:ascii="Arial" w:eastAsia="Arial" w:hAnsi="Arial" w:cs="Arial"/>
          <w:sz w:val="20"/>
          <w:szCs w:val="20"/>
        </w:rPr>
        <w:t>(2)</w:t>
      </w:r>
    </w:p>
    <w:p w14:paraId="4B9BB394" w14:textId="28566173"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Axat</w:t>
      </w:r>
      <w:proofErr w:type="spellEnd"/>
      <w:r w:rsidRPr="005401B2">
        <w:rPr>
          <w:rFonts w:ascii="Arial" w:eastAsia="Arial" w:hAnsi="Arial" w:cs="Arial"/>
          <w:sz w:val="20"/>
          <w:szCs w:val="20"/>
        </w:rPr>
        <w:t xml:space="preserve">, J. (2021). Deriva y Reclutamiento: cuando el delito juvenil esconde la trata de personas. </w:t>
      </w:r>
      <w:r w:rsidRPr="005401B2">
        <w:rPr>
          <w:rFonts w:ascii="Arial" w:eastAsia="Arial" w:hAnsi="Arial" w:cs="Arial"/>
          <w:i/>
          <w:sz w:val="20"/>
          <w:szCs w:val="20"/>
        </w:rPr>
        <w:t>Revista Broquel</w:t>
      </w:r>
      <w:r w:rsidRPr="005401B2">
        <w:rPr>
          <w:rFonts w:ascii="Arial" w:eastAsia="Arial" w:hAnsi="Arial" w:cs="Arial"/>
          <w:sz w:val="20"/>
          <w:szCs w:val="20"/>
        </w:rPr>
        <w:t>, 2(15).</w:t>
      </w:r>
      <w:r w:rsidR="00C066C0" w:rsidRPr="00C066C0">
        <w:t xml:space="preserve"> </w:t>
      </w:r>
      <w:r w:rsidR="00C066C0" w:rsidRPr="00C066C0">
        <w:rPr>
          <w:rFonts w:ascii="Arial" w:eastAsia="Arial" w:hAnsi="Arial" w:cs="Arial"/>
          <w:sz w:val="20"/>
          <w:szCs w:val="20"/>
        </w:rPr>
        <w:t>Recuperado de</w:t>
      </w:r>
      <w:r w:rsidRPr="005401B2">
        <w:rPr>
          <w:rFonts w:ascii="Arial" w:eastAsia="Arial" w:hAnsi="Arial" w:cs="Arial"/>
          <w:sz w:val="20"/>
          <w:szCs w:val="20"/>
        </w:rPr>
        <w:t xml:space="preserve"> </w:t>
      </w:r>
      <w:hyperlink r:id="rId8">
        <w:r w:rsidRPr="005401B2">
          <w:rPr>
            <w:rFonts w:ascii="Arial" w:eastAsia="Arial" w:hAnsi="Arial" w:cs="Arial"/>
            <w:color w:val="1155CC"/>
            <w:sz w:val="20"/>
            <w:szCs w:val="20"/>
            <w:u w:val="single"/>
          </w:rPr>
          <w:t>https://broquel.ptn.gob.ar/2021/07/02/deriva-y-reclutamiento/</w:t>
        </w:r>
      </w:hyperlink>
      <w:r w:rsidRPr="005401B2">
        <w:rPr>
          <w:rFonts w:ascii="Arial" w:eastAsia="Arial" w:hAnsi="Arial" w:cs="Arial"/>
          <w:sz w:val="20"/>
          <w:szCs w:val="20"/>
        </w:rPr>
        <w:t xml:space="preserve"> </w:t>
      </w:r>
    </w:p>
    <w:p w14:paraId="2F450577" w14:textId="7F7460C5"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Barbirotto</w:t>
      </w:r>
      <w:proofErr w:type="spellEnd"/>
      <w:r w:rsidRPr="005401B2">
        <w:rPr>
          <w:rFonts w:ascii="Arial" w:eastAsia="Arial" w:hAnsi="Arial" w:cs="Arial"/>
          <w:sz w:val="20"/>
          <w:szCs w:val="20"/>
        </w:rPr>
        <w:t xml:space="preserve">, P.A. (2018). Adolescentes no punibles. Interpretación de la reforma introducida por la ley n 10.450. En </w:t>
      </w:r>
      <w:proofErr w:type="spellStart"/>
      <w:r w:rsidRPr="005401B2">
        <w:rPr>
          <w:rFonts w:ascii="Arial" w:eastAsia="Arial" w:hAnsi="Arial" w:cs="Arial"/>
          <w:sz w:val="20"/>
          <w:szCs w:val="20"/>
        </w:rPr>
        <w:t>Barbirotto</w:t>
      </w:r>
      <w:proofErr w:type="spellEnd"/>
      <w:r w:rsidRPr="005401B2">
        <w:rPr>
          <w:rFonts w:ascii="Arial" w:eastAsia="Arial" w:hAnsi="Arial" w:cs="Arial"/>
          <w:sz w:val="20"/>
          <w:szCs w:val="20"/>
        </w:rPr>
        <w:t xml:space="preserve">, P.A. y Sarmiento, L. El proceso penal para adolescentes no punibles en la provincia de Entre Ríos: un análisis desde la interdisciplina. </w:t>
      </w:r>
      <w:r w:rsidRPr="005401B2">
        <w:rPr>
          <w:rFonts w:ascii="Arial" w:eastAsia="Arial" w:hAnsi="Arial" w:cs="Arial"/>
          <w:i/>
          <w:sz w:val="20"/>
          <w:szCs w:val="20"/>
        </w:rPr>
        <w:t xml:space="preserve">Revista </w:t>
      </w:r>
      <w:proofErr w:type="spellStart"/>
      <w:r w:rsidRPr="005401B2">
        <w:rPr>
          <w:rFonts w:ascii="Arial" w:eastAsia="Arial" w:hAnsi="Arial" w:cs="Arial"/>
          <w:i/>
          <w:sz w:val="20"/>
          <w:szCs w:val="20"/>
        </w:rPr>
        <w:t>on</w:t>
      </w:r>
      <w:proofErr w:type="spellEnd"/>
      <w:r w:rsidRPr="005401B2">
        <w:rPr>
          <w:rFonts w:ascii="Arial" w:eastAsia="Arial" w:hAnsi="Arial" w:cs="Arial"/>
          <w:i/>
          <w:sz w:val="20"/>
          <w:szCs w:val="20"/>
        </w:rPr>
        <w:t xml:space="preserve"> line Pensamiento Penal</w:t>
      </w:r>
      <w:r w:rsidRPr="005401B2">
        <w:rPr>
          <w:rFonts w:ascii="Arial" w:eastAsia="Arial" w:hAnsi="Arial" w:cs="Arial"/>
          <w:sz w:val="20"/>
          <w:szCs w:val="20"/>
        </w:rPr>
        <w:t xml:space="preserve">. </w:t>
      </w:r>
      <w:bookmarkStart w:id="13" w:name="_Hlk201667573"/>
      <w:r w:rsidRPr="005401B2">
        <w:rPr>
          <w:rFonts w:ascii="Arial" w:eastAsia="Arial" w:hAnsi="Arial" w:cs="Arial"/>
          <w:sz w:val="20"/>
          <w:szCs w:val="20"/>
        </w:rPr>
        <w:t xml:space="preserve">Recuperado de </w:t>
      </w:r>
      <w:bookmarkEnd w:id="13"/>
      <w:r w:rsidR="00AB4EB3" w:rsidRPr="005401B2">
        <w:rPr>
          <w:rFonts w:ascii="Arial" w:hAnsi="Arial" w:cs="Arial"/>
          <w:sz w:val="20"/>
          <w:szCs w:val="20"/>
        </w:rPr>
        <w:fldChar w:fldCharType="begin"/>
      </w:r>
      <w:r w:rsidR="00AB4EB3" w:rsidRPr="005401B2">
        <w:rPr>
          <w:rFonts w:ascii="Arial" w:hAnsi="Arial" w:cs="Arial"/>
          <w:sz w:val="20"/>
          <w:szCs w:val="20"/>
        </w:rPr>
        <w:instrText xml:space="preserve"> HYPERLINK "https://www.pensamientopenal.com.ar/system/files/2018/10/doctrina47043.pdf" \h </w:instrText>
      </w:r>
      <w:r w:rsidR="00AB4EB3" w:rsidRPr="005401B2">
        <w:rPr>
          <w:rFonts w:ascii="Arial" w:hAnsi="Arial" w:cs="Arial"/>
          <w:sz w:val="20"/>
          <w:szCs w:val="20"/>
        </w:rPr>
        <w:fldChar w:fldCharType="separate"/>
      </w:r>
      <w:r w:rsidRPr="005401B2">
        <w:rPr>
          <w:rFonts w:ascii="Arial" w:eastAsia="Arial" w:hAnsi="Arial" w:cs="Arial"/>
          <w:color w:val="0000FF"/>
          <w:sz w:val="20"/>
          <w:szCs w:val="20"/>
          <w:u w:val="single"/>
        </w:rPr>
        <w:t>https://www.pensamientopenal.com.ar/system/files/2018/10/doctrina47043.pdf</w:t>
      </w:r>
      <w:r w:rsidR="00AB4EB3" w:rsidRPr="005401B2">
        <w:rPr>
          <w:rFonts w:ascii="Arial" w:eastAsia="Arial" w:hAnsi="Arial" w:cs="Arial"/>
          <w:color w:val="0000FF"/>
          <w:sz w:val="20"/>
          <w:szCs w:val="20"/>
          <w:u w:val="single"/>
        </w:rPr>
        <w:fldChar w:fldCharType="end"/>
      </w:r>
      <w:r w:rsidRPr="005401B2">
        <w:rPr>
          <w:rFonts w:ascii="Arial" w:eastAsia="Arial" w:hAnsi="Arial" w:cs="Arial"/>
          <w:sz w:val="20"/>
          <w:szCs w:val="20"/>
        </w:rPr>
        <w:t xml:space="preserve"> </w:t>
      </w:r>
    </w:p>
    <w:p w14:paraId="05EF71C3" w14:textId="77777777"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Beloff</w:t>
      </w:r>
      <w:proofErr w:type="spellEnd"/>
      <w:r w:rsidRPr="005401B2">
        <w:rPr>
          <w:rFonts w:ascii="Arial" w:eastAsia="Arial" w:hAnsi="Arial" w:cs="Arial"/>
          <w:sz w:val="20"/>
          <w:szCs w:val="20"/>
        </w:rPr>
        <w:t xml:space="preserve">, M. (2014). Reforma legal y derechos económicos y sociales de los niños: las paradojas de la ciudadanía. </w:t>
      </w:r>
      <w:r w:rsidRPr="005401B2">
        <w:rPr>
          <w:rFonts w:ascii="Arial" w:eastAsia="Arial" w:hAnsi="Arial" w:cs="Arial"/>
          <w:i/>
          <w:sz w:val="20"/>
          <w:szCs w:val="20"/>
        </w:rPr>
        <w:t>Revista de Derecho Penal</w:t>
      </w:r>
      <w:r w:rsidRPr="005401B2">
        <w:rPr>
          <w:rFonts w:ascii="Arial" w:eastAsia="Arial" w:hAnsi="Arial" w:cs="Arial"/>
          <w:sz w:val="20"/>
          <w:szCs w:val="20"/>
        </w:rPr>
        <w:t xml:space="preserve">, (20), 123-137. </w:t>
      </w:r>
    </w:p>
    <w:p w14:paraId="4DEBFCE9" w14:textId="04676254"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Beloff</w:t>
      </w:r>
      <w:proofErr w:type="spellEnd"/>
      <w:r w:rsidRPr="005401B2">
        <w:rPr>
          <w:rFonts w:ascii="Arial" w:eastAsia="Arial" w:hAnsi="Arial" w:cs="Arial"/>
          <w:sz w:val="20"/>
          <w:szCs w:val="20"/>
        </w:rPr>
        <w:t xml:space="preserve">, M. (2017). La protección de los derechos de las niñas en la justicia juvenil. </w:t>
      </w:r>
      <w:r w:rsidRPr="005401B2">
        <w:rPr>
          <w:rFonts w:ascii="Arial" w:eastAsia="Arial" w:hAnsi="Arial" w:cs="Arial"/>
          <w:i/>
          <w:sz w:val="20"/>
          <w:szCs w:val="20"/>
        </w:rPr>
        <w:t>Revista Electrónica</w:t>
      </w:r>
      <w:r w:rsidRPr="005401B2">
        <w:rPr>
          <w:rFonts w:ascii="Arial" w:eastAsia="Arial" w:hAnsi="Arial" w:cs="Arial"/>
          <w:sz w:val="20"/>
          <w:szCs w:val="20"/>
        </w:rPr>
        <w:t>, (19), pp. 55-81.</w:t>
      </w:r>
      <w:r w:rsidR="00C066C0" w:rsidRPr="00C066C0">
        <w:t xml:space="preserve"> </w:t>
      </w:r>
      <w:r w:rsidR="00C066C0" w:rsidRPr="00C066C0">
        <w:rPr>
          <w:rFonts w:ascii="Arial" w:eastAsia="Arial" w:hAnsi="Arial" w:cs="Arial"/>
          <w:sz w:val="20"/>
          <w:szCs w:val="20"/>
        </w:rPr>
        <w:t>Recuperado de</w:t>
      </w:r>
      <w:r w:rsidR="00C066C0">
        <w:rPr>
          <w:rFonts w:ascii="Arial" w:eastAsia="Arial" w:hAnsi="Arial" w:cs="Arial"/>
          <w:sz w:val="20"/>
          <w:szCs w:val="20"/>
        </w:rPr>
        <w:t xml:space="preserve"> </w:t>
      </w:r>
      <w:hyperlink r:id="rId9" w:history="1">
        <w:r w:rsidR="00C066C0" w:rsidRPr="001C3F3F">
          <w:rPr>
            <w:rStyle w:val="Hipervnculo"/>
            <w:rFonts w:ascii="Arial" w:eastAsia="Arial" w:hAnsi="Arial" w:cs="Arial"/>
            <w:sz w:val="20"/>
            <w:szCs w:val="20"/>
          </w:rPr>
          <w:t>http://revistas.derecho.uba.ar/index.php/revista-gioja/article/view/184/162</w:t>
        </w:r>
      </w:hyperlink>
      <w:r w:rsidRPr="005401B2">
        <w:rPr>
          <w:rFonts w:ascii="Arial" w:eastAsia="Arial" w:hAnsi="Arial" w:cs="Arial"/>
          <w:sz w:val="20"/>
          <w:szCs w:val="20"/>
        </w:rPr>
        <w:t xml:space="preserve"> </w:t>
      </w:r>
    </w:p>
    <w:p w14:paraId="715263E3" w14:textId="7FB8DC61" w:rsidR="00F75B31" w:rsidRPr="005401B2" w:rsidRDefault="003B6350">
      <w:pPr>
        <w:shd w:val="clear" w:color="auto" w:fill="FFFFFF"/>
        <w:spacing w:before="120" w:after="0" w:line="360" w:lineRule="auto"/>
        <w:jc w:val="both"/>
        <w:rPr>
          <w:rFonts w:ascii="Arial" w:eastAsia="Arial" w:hAnsi="Arial" w:cs="Arial"/>
          <w:sz w:val="20"/>
          <w:szCs w:val="20"/>
        </w:rPr>
      </w:pPr>
      <w:r w:rsidRPr="005401B2">
        <w:rPr>
          <w:rFonts w:ascii="Arial" w:eastAsia="Arial" w:hAnsi="Arial" w:cs="Arial"/>
          <w:sz w:val="20"/>
          <w:szCs w:val="20"/>
        </w:rPr>
        <w:t xml:space="preserve">Corte Interamericana de Derechos Humanos (CIDH). (2015). </w:t>
      </w:r>
      <w:r w:rsidRPr="005401B2">
        <w:rPr>
          <w:rFonts w:ascii="Arial" w:eastAsia="Arial" w:hAnsi="Arial" w:cs="Arial"/>
          <w:i/>
          <w:sz w:val="20"/>
          <w:szCs w:val="20"/>
        </w:rPr>
        <w:t>Violencia, Niñez y Crimen Organizado</w:t>
      </w:r>
      <w:r w:rsidRPr="005401B2">
        <w:rPr>
          <w:rFonts w:ascii="Arial" w:eastAsia="Arial" w:hAnsi="Arial" w:cs="Arial"/>
          <w:sz w:val="20"/>
          <w:szCs w:val="20"/>
        </w:rPr>
        <w:t>.</w:t>
      </w:r>
      <w:r w:rsidR="007E6D52" w:rsidRPr="005401B2">
        <w:rPr>
          <w:rFonts w:ascii="Arial" w:eastAsia="Arial" w:hAnsi="Arial" w:cs="Arial"/>
          <w:sz w:val="20"/>
          <w:szCs w:val="20"/>
        </w:rPr>
        <w:t xml:space="preserve"> </w:t>
      </w:r>
      <w:r w:rsidRPr="005401B2">
        <w:rPr>
          <w:rFonts w:ascii="Arial" w:eastAsia="Arial" w:hAnsi="Arial" w:cs="Arial"/>
          <w:sz w:val="20"/>
          <w:szCs w:val="20"/>
        </w:rPr>
        <w:t>Sentencia del 11 de noviembre. p. 202-243.</w:t>
      </w:r>
    </w:p>
    <w:p w14:paraId="00CEF53A" w14:textId="77777777"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Cozzi</w:t>
      </w:r>
      <w:proofErr w:type="spellEnd"/>
      <w:r w:rsidRPr="005401B2">
        <w:rPr>
          <w:rFonts w:ascii="Arial" w:eastAsia="Arial" w:hAnsi="Arial" w:cs="Arial"/>
          <w:sz w:val="20"/>
          <w:szCs w:val="20"/>
        </w:rPr>
        <w:t xml:space="preserve">, E. (2021). Soldaditos: Disputas de sentidos en torno a la participación de jóvenes de sectores populares en el mercado de drogas ilegalizadas en la ciudad de Rosario. </w:t>
      </w:r>
      <w:r w:rsidRPr="005401B2">
        <w:rPr>
          <w:rFonts w:ascii="Arial" w:eastAsia="Arial" w:hAnsi="Arial" w:cs="Arial"/>
          <w:i/>
          <w:sz w:val="20"/>
          <w:szCs w:val="20"/>
        </w:rPr>
        <w:t>Revista del Ministerio Público de la Defensa (16)</w:t>
      </w:r>
      <w:r w:rsidRPr="005401B2">
        <w:rPr>
          <w:rFonts w:ascii="Arial" w:eastAsia="Arial" w:hAnsi="Arial" w:cs="Arial"/>
          <w:sz w:val="20"/>
          <w:szCs w:val="20"/>
        </w:rPr>
        <w:t>, pp.143-157.</w:t>
      </w:r>
    </w:p>
    <w:p w14:paraId="1EA26BFE" w14:textId="77777777" w:rsidR="00F75B31" w:rsidRPr="005401B2" w:rsidRDefault="003B6350">
      <w:pPr>
        <w:shd w:val="clear" w:color="auto" w:fill="FFFFFF"/>
        <w:spacing w:before="120" w:after="0" w:line="360" w:lineRule="auto"/>
        <w:jc w:val="both"/>
        <w:rPr>
          <w:rFonts w:ascii="Arial" w:eastAsia="Arial" w:hAnsi="Arial" w:cs="Arial"/>
          <w:sz w:val="20"/>
          <w:szCs w:val="20"/>
        </w:rPr>
      </w:pPr>
      <w:r w:rsidRPr="005401B2">
        <w:rPr>
          <w:rFonts w:ascii="Arial" w:eastAsia="Arial" w:hAnsi="Arial" w:cs="Arial"/>
          <w:sz w:val="20"/>
          <w:szCs w:val="20"/>
        </w:rPr>
        <w:t xml:space="preserve">Freedman, D. y </w:t>
      </w:r>
      <w:proofErr w:type="spellStart"/>
      <w:r w:rsidRPr="005401B2">
        <w:rPr>
          <w:rFonts w:ascii="Arial" w:eastAsia="Arial" w:hAnsi="Arial" w:cs="Arial"/>
          <w:sz w:val="20"/>
          <w:szCs w:val="20"/>
        </w:rPr>
        <w:t>Terragni</w:t>
      </w:r>
      <w:proofErr w:type="spellEnd"/>
      <w:r w:rsidRPr="005401B2">
        <w:rPr>
          <w:rFonts w:ascii="Arial" w:eastAsia="Arial" w:hAnsi="Arial" w:cs="Arial"/>
          <w:sz w:val="20"/>
          <w:szCs w:val="20"/>
        </w:rPr>
        <w:t xml:space="preserve">, M. (2018). Principio de especialidad en la justicia juvenil. En </w:t>
      </w:r>
      <w:proofErr w:type="spellStart"/>
      <w:r w:rsidRPr="005401B2">
        <w:rPr>
          <w:rFonts w:ascii="Arial" w:eastAsia="Arial" w:hAnsi="Arial" w:cs="Arial"/>
          <w:sz w:val="20"/>
          <w:szCs w:val="20"/>
        </w:rPr>
        <w:t>Quinteiro</w:t>
      </w:r>
      <w:proofErr w:type="spellEnd"/>
      <w:r w:rsidRPr="005401B2">
        <w:rPr>
          <w:rFonts w:ascii="Arial" w:eastAsia="Arial" w:hAnsi="Arial" w:cs="Arial"/>
          <w:sz w:val="20"/>
          <w:szCs w:val="20"/>
        </w:rPr>
        <w:t xml:space="preserve">, A. (coord.). </w:t>
      </w:r>
      <w:r w:rsidRPr="005401B2">
        <w:rPr>
          <w:rFonts w:ascii="Arial" w:eastAsia="Arial" w:hAnsi="Arial" w:cs="Arial"/>
          <w:i/>
          <w:sz w:val="20"/>
          <w:szCs w:val="20"/>
        </w:rPr>
        <w:t>Aportes para una justicia especializada para jóvenes en el conflicto con la Ley Penal</w:t>
      </w:r>
      <w:r w:rsidRPr="005401B2">
        <w:rPr>
          <w:rFonts w:ascii="Arial" w:eastAsia="Arial" w:hAnsi="Arial" w:cs="Arial"/>
          <w:sz w:val="20"/>
          <w:szCs w:val="20"/>
        </w:rPr>
        <w:t xml:space="preserve">. Buenos Aires: Ed. </w:t>
      </w:r>
      <w:proofErr w:type="spellStart"/>
      <w:r w:rsidRPr="005401B2">
        <w:rPr>
          <w:rFonts w:ascii="Arial" w:eastAsia="Arial" w:hAnsi="Arial" w:cs="Arial"/>
          <w:sz w:val="20"/>
          <w:szCs w:val="20"/>
        </w:rPr>
        <w:t>Jusbaires</w:t>
      </w:r>
      <w:proofErr w:type="spellEnd"/>
      <w:r w:rsidRPr="005401B2">
        <w:rPr>
          <w:rFonts w:ascii="Arial" w:eastAsia="Arial" w:hAnsi="Arial" w:cs="Arial"/>
          <w:sz w:val="20"/>
          <w:szCs w:val="20"/>
        </w:rPr>
        <w:t>.</w:t>
      </w:r>
    </w:p>
    <w:p w14:paraId="5815B269" w14:textId="2EB16ADD" w:rsidR="00F75B31" w:rsidRPr="005401B2" w:rsidRDefault="003B6350">
      <w:pPr>
        <w:shd w:val="clear" w:color="auto" w:fill="FFFFFF"/>
        <w:spacing w:before="120" w:after="0" w:line="360" w:lineRule="auto"/>
        <w:jc w:val="both"/>
        <w:rPr>
          <w:rFonts w:ascii="Arial" w:eastAsia="Arial" w:hAnsi="Arial" w:cs="Arial"/>
          <w:sz w:val="20"/>
          <w:szCs w:val="20"/>
        </w:rPr>
      </w:pPr>
      <w:r w:rsidRPr="005401B2">
        <w:rPr>
          <w:rFonts w:ascii="Arial" w:eastAsia="Arial" w:hAnsi="Arial" w:cs="Arial"/>
          <w:sz w:val="20"/>
          <w:szCs w:val="20"/>
        </w:rPr>
        <w:t xml:space="preserve">Lillo Espinosa, J.L. (2004). Crecimiento y comportamiento en la adolescencia.  </w:t>
      </w:r>
      <w:r w:rsidRPr="005401B2">
        <w:rPr>
          <w:rFonts w:ascii="Arial" w:eastAsia="Arial" w:hAnsi="Arial" w:cs="Arial"/>
          <w:i/>
          <w:sz w:val="20"/>
          <w:szCs w:val="20"/>
        </w:rPr>
        <w:t>Revista de la Asociación Española de Neuropsiquiatría</w:t>
      </w:r>
      <w:r w:rsidRPr="005401B2">
        <w:rPr>
          <w:rFonts w:ascii="Arial" w:eastAsia="Arial" w:hAnsi="Arial" w:cs="Arial"/>
          <w:sz w:val="20"/>
          <w:szCs w:val="20"/>
        </w:rPr>
        <w:t xml:space="preserve">, (90) </w:t>
      </w:r>
    </w:p>
    <w:p w14:paraId="536A41E5" w14:textId="21468B8B" w:rsidR="00F75B31" w:rsidRPr="005401B2" w:rsidRDefault="003B6350">
      <w:pPr>
        <w:shd w:val="clear" w:color="auto" w:fill="FFFFFF"/>
        <w:spacing w:before="120" w:after="0" w:line="360" w:lineRule="auto"/>
        <w:jc w:val="both"/>
        <w:rPr>
          <w:rFonts w:ascii="Arial" w:eastAsia="Arial" w:hAnsi="Arial" w:cs="Arial"/>
          <w:sz w:val="20"/>
          <w:szCs w:val="20"/>
        </w:rPr>
      </w:pPr>
      <w:proofErr w:type="spellStart"/>
      <w:r w:rsidRPr="005401B2">
        <w:rPr>
          <w:rFonts w:ascii="Arial" w:eastAsia="Arial" w:hAnsi="Arial" w:cs="Arial"/>
          <w:sz w:val="20"/>
          <w:szCs w:val="20"/>
        </w:rPr>
        <w:t>Terragni</w:t>
      </w:r>
      <w:proofErr w:type="spellEnd"/>
      <w:r w:rsidRPr="005401B2">
        <w:rPr>
          <w:rFonts w:ascii="Arial" w:eastAsia="Arial" w:hAnsi="Arial" w:cs="Arial"/>
          <w:sz w:val="20"/>
          <w:szCs w:val="20"/>
        </w:rPr>
        <w:t>, M. (2009).</w:t>
      </w:r>
      <w:r w:rsidR="00201B39" w:rsidRPr="005401B2">
        <w:rPr>
          <w:rFonts w:ascii="Arial" w:eastAsia="Arial" w:hAnsi="Arial" w:cs="Arial"/>
          <w:sz w:val="20"/>
          <w:szCs w:val="20"/>
        </w:rPr>
        <w:t xml:space="preserve"> </w:t>
      </w:r>
      <w:r w:rsidRPr="005401B2">
        <w:rPr>
          <w:rFonts w:ascii="Arial" w:eastAsia="Arial" w:hAnsi="Arial" w:cs="Arial"/>
          <w:sz w:val="20"/>
          <w:szCs w:val="20"/>
        </w:rPr>
        <w:t xml:space="preserve">La justicia federal y el principio de justicia especializada: tensiones en la jurisprudencia. </w:t>
      </w:r>
      <w:r w:rsidRPr="005401B2">
        <w:rPr>
          <w:rFonts w:ascii="Arial" w:eastAsia="Arial" w:hAnsi="Arial" w:cs="Arial"/>
          <w:i/>
          <w:sz w:val="20"/>
          <w:szCs w:val="20"/>
        </w:rPr>
        <w:t>Revista de Derecho Penal y Procesal Penal</w:t>
      </w:r>
      <w:r w:rsidRPr="005401B2">
        <w:rPr>
          <w:rFonts w:ascii="Arial" w:eastAsia="Arial" w:hAnsi="Arial" w:cs="Arial"/>
          <w:sz w:val="20"/>
          <w:szCs w:val="20"/>
        </w:rPr>
        <w:t>, (5), pp. 833-841.</w:t>
      </w:r>
    </w:p>
    <w:p w14:paraId="2E6EC4F6" w14:textId="77777777" w:rsidR="00F75B31" w:rsidRPr="005401B2" w:rsidRDefault="00F75B31">
      <w:pPr>
        <w:shd w:val="clear" w:color="auto" w:fill="FFFFFF"/>
        <w:spacing w:before="120" w:after="0" w:line="360" w:lineRule="auto"/>
        <w:jc w:val="both"/>
        <w:rPr>
          <w:rFonts w:ascii="Arial" w:eastAsia="Arial" w:hAnsi="Arial" w:cs="Arial"/>
          <w:sz w:val="20"/>
          <w:szCs w:val="20"/>
        </w:rPr>
      </w:pPr>
    </w:p>
    <w:sectPr w:rsidR="00F75B31" w:rsidRPr="005401B2">
      <w:headerReference w:type="default" r:id="rId10"/>
      <w:footerReference w:type="default" r:id="rId11"/>
      <w:headerReference w:type="first" r:id="rId12"/>
      <w:footerReference w:type="first" r:id="rId13"/>
      <w:pgSz w:w="11906" w:h="16838"/>
      <w:pgMar w:top="1418" w:right="1928" w:bottom="1134" w:left="1985" w:header="1134" w:footer="7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D4E9F" w14:textId="77777777" w:rsidR="003B6350" w:rsidRDefault="003B6350">
      <w:pPr>
        <w:spacing w:after="0" w:line="240" w:lineRule="auto"/>
      </w:pPr>
      <w:r>
        <w:separator/>
      </w:r>
    </w:p>
  </w:endnote>
  <w:endnote w:type="continuationSeparator" w:id="0">
    <w:p w14:paraId="7F19136E" w14:textId="77777777" w:rsidR="003B6350" w:rsidRDefault="003B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charset w:val="00"/>
    <w:family w:val="roman"/>
    <w:pitch w:val="variable"/>
    <w:sig w:usb0="00000003" w:usb1="00000000" w:usb2="00000000" w:usb3="00000000" w:csb0="00000001" w:csb1="00000000"/>
  </w:font>
  <w:font w:name="Segoe UI">
    <w:panose1 w:val="020B0502040204020203"/>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52E8" w14:textId="2C771A2D" w:rsidR="00F75B31" w:rsidRDefault="003B6350">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Año 7 – Número 13 – enero-ju</w:t>
    </w:r>
    <w:r w:rsidR="00FF2AE5">
      <w:rPr>
        <w:rFonts w:ascii="Cambria" w:eastAsia="Cambria" w:hAnsi="Cambria" w:cs="Cambria"/>
        <w:color w:val="000000"/>
        <w:sz w:val="20"/>
        <w:szCs w:val="20"/>
      </w:rPr>
      <w:t>n</w:t>
    </w:r>
    <w:r>
      <w:rPr>
        <w:rFonts w:ascii="Cambria" w:eastAsia="Cambria" w:hAnsi="Cambria" w:cs="Cambria"/>
        <w:color w:val="000000"/>
        <w:sz w:val="20"/>
        <w:szCs w:val="20"/>
      </w:rPr>
      <w:t>io 2025. ISSN: 2525-0620</w:t>
    </w:r>
  </w:p>
  <w:p w14:paraId="372B5B88" w14:textId="77777777" w:rsidR="00F75B31" w:rsidRDefault="00F75B31">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2932" w14:textId="12843F71" w:rsidR="00F75B31" w:rsidRPr="00FF2AE5" w:rsidRDefault="003B6350">
    <w:pPr>
      <w:pBdr>
        <w:top w:val="nil"/>
        <w:left w:val="nil"/>
        <w:bottom w:val="nil"/>
        <w:right w:val="nil"/>
        <w:between w:val="nil"/>
      </w:pBdr>
      <w:tabs>
        <w:tab w:val="center" w:pos="4252"/>
        <w:tab w:val="right" w:pos="8504"/>
      </w:tabs>
      <w:spacing w:after="0" w:line="240" w:lineRule="auto"/>
      <w:jc w:val="right"/>
      <w:rPr>
        <w:rFonts w:ascii="Cambria" w:hAnsi="Cambria"/>
        <w:color w:val="000000"/>
        <w:sz w:val="20"/>
        <w:szCs w:val="20"/>
      </w:rPr>
    </w:pPr>
    <w:r w:rsidRPr="00FF2AE5">
      <w:rPr>
        <w:rFonts w:ascii="Cambria" w:hAnsi="Cambria"/>
        <w:color w:val="000000"/>
        <w:sz w:val="20"/>
        <w:szCs w:val="20"/>
      </w:rPr>
      <w:t>Año 7 – Número 13 – enero-ju</w:t>
    </w:r>
    <w:r w:rsidR="00FF2AE5">
      <w:rPr>
        <w:rFonts w:ascii="Cambria" w:hAnsi="Cambria"/>
        <w:color w:val="000000"/>
        <w:sz w:val="20"/>
        <w:szCs w:val="20"/>
      </w:rPr>
      <w:t>ni</w:t>
    </w:r>
    <w:r w:rsidRPr="00FF2AE5">
      <w:rPr>
        <w:rFonts w:ascii="Cambria" w:hAnsi="Cambria"/>
        <w:color w:val="000000"/>
        <w:sz w:val="20"/>
        <w:szCs w:val="20"/>
      </w:rPr>
      <w:t>o 2025. ISSN: 2525-0620</w:t>
    </w:r>
  </w:p>
  <w:p w14:paraId="781E37E8" w14:textId="77777777" w:rsidR="00F75B31" w:rsidRDefault="00F75B31">
    <w:pPr>
      <w:pBdr>
        <w:top w:val="nil"/>
        <w:left w:val="nil"/>
        <w:bottom w:val="nil"/>
        <w:right w:val="nil"/>
        <w:between w:val="nil"/>
      </w:pBdr>
      <w:tabs>
        <w:tab w:val="center" w:pos="4252"/>
        <w:tab w:val="right" w:pos="8504"/>
      </w:tabs>
      <w:spacing w:after="0" w:line="240" w:lineRule="auto"/>
      <w:jc w:val="right"/>
      <w:rPr>
        <w:color w:val="000000"/>
      </w:rPr>
    </w:pPr>
  </w:p>
  <w:p w14:paraId="3A53A9D4" w14:textId="77777777" w:rsidR="00F75B31" w:rsidRDefault="003B6350">
    <w:pPr>
      <w:pBdr>
        <w:top w:val="nil"/>
        <w:left w:val="nil"/>
        <w:bottom w:val="nil"/>
        <w:right w:val="nil"/>
        <w:between w:val="nil"/>
      </w:pBdr>
      <w:tabs>
        <w:tab w:val="center" w:pos="4252"/>
        <w:tab w:val="right" w:pos="8504"/>
      </w:tabs>
      <w:spacing w:after="0" w:line="240" w:lineRule="auto"/>
      <w:jc w:val="right"/>
      <w:rPr>
        <w:color w:val="000000"/>
      </w:rPr>
    </w:pPr>
    <w:r>
      <w:rPr>
        <w:noProof/>
      </w:rPr>
      <w:drawing>
        <wp:anchor distT="0" distB="0" distL="114300" distR="114300" simplePos="0" relativeHeight="251658240" behindDoc="0" locked="0" layoutInCell="1" hidden="0" allowOverlap="1" wp14:anchorId="2E032235" wp14:editId="494405B3">
          <wp:simplePos x="0" y="0"/>
          <wp:positionH relativeFrom="column">
            <wp:posOffset>5010150</wp:posOffset>
          </wp:positionH>
          <wp:positionV relativeFrom="paragraph">
            <wp:posOffset>76200</wp:posOffset>
          </wp:positionV>
          <wp:extent cx="762000" cy="2667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6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50C4" w14:textId="77777777" w:rsidR="003B6350" w:rsidRDefault="003B6350">
      <w:pPr>
        <w:spacing w:after="0" w:line="240" w:lineRule="auto"/>
      </w:pPr>
      <w:r>
        <w:separator/>
      </w:r>
    </w:p>
  </w:footnote>
  <w:footnote w:type="continuationSeparator" w:id="0">
    <w:p w14:paraId="41D889A8" w14:textId="77777777" w:rsidR="003B6350" w:rsidRDefault="003B6350">
      <w:pPr>
        <w:spacing w:after="0" w:line="240" w:lineRule="auto"/>
      </w:pPr>
      <w:r>
        <w:continuationSeparator/>
      </w:r>
    </w:p>
  </w:footnote>
  <w:footnote w:id="1">
    <w:p w14:paraId="519B7194"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Abogado por la Universidad Nacional de Mar del Plata -graduado con mejor promedio año 2013-, Master por la Universidad de Génova en Estado de Derecho y Democracia Constitucional, Doctorando de la Universidad de Buenos Aires. Secretario del Juzgado de Garantías del Joven </w:t>
      </w:r>
      <w:proofErr w:type="spellStart"/>
      <w:r>
        <w:rPr>
          <w:rFonts w:ascii="Arial" w:eastAsia="Arial" w:hAnsi="Arial" w:cs="Arial"/>
          <w:color w:val="000000"/>
          <w:sz w:val="18"/>
          <w:szCs w:val="18"/>
        </w:rPr>
        <w:t>n°</w:t>
      </w:r>
      <w:proofErr w:type="spellEnd"/>
      <w:r>
        <w:rPr>
          <w:rFonts w:ascii="Arial" w:eastAsia="Arial" w:hAnsi="Arial" w:cs="Arial"/>
          <w:color w:val="000000"/>
          <w:sz w:val="18"/>
          <w:szCs w:val="18"/>
        </w:rPr>
        <w:t xml:space="preserve"> 2 de Mar del Plata. Docente e investigador de la Universidad Nacional de Mar del Plata. Director del Centro de Estudios CEDIR. Ex abogado consultor y visitante profesional de la Corte Interamericana de Derechos Humanos. Particular experiencia y formación en Sistema Interamericano de Derechos Humanos, Derecho de las Niñeces y en el Sistema Penal. Autor de múltiples publicaciones relacionadas con tales temas. Representante del Colegio de Magistrados y </w:t>
      </w:r>
      <w:proofErr w:type="gramStart"/>
      <w:r>
        <w:rPr>
          <w:rFonts w:ascii="Arial" w:eastAsia="Arial" w:hAnsi="Arial" w:cs="Arial"/>
          <w:color w:val="000000"/>
          <w:sz w:val="18"/>
          <w:szCs w:val="18"/>
        </w:rPr>
        <w:t>Funcionarios</w:t>
      </w:r>
      <w:proofErr w:type="gramEnd"/>
      <w:r>
        <w:rPr>
          <w:rFonts w:ascii="Arial" w:eastAsia="Arial" w:hAnsi="Arial" w:cs="Arial"/>
          <w:color w:val="000000"/>
          <w:sz w:val="18"/>
          <w:szCs w:val="18"/>
        </w:rPr>
        <w:t xml:space="preserve"> de Mar del Plata en la Comisión de Responsabilidad Penal Juvenil del Colegio Provincial -años 2020/2022-. Coordinador General del Proyecto de Ley de Ejecución Penal bonaerense para personas adolescentes del Colegio de Magistrados y funcionarios de la Provincia de Buenos Aires.</w:t>
      </w:r>
      <w:r>
        <w:rPr>
          <w:color w:val="000000"/>
          <w:sz w:val="20"/>
          <w:szCs w:val="20"/>
        </w:rPr>
        <w:t xml:space="preserve"> </w:t>
      </w:r>
      <w:r>
        <w:rPr>
          <w:rFonts w:ascii="Arial" w:eastAsia="Arial" w:hAnsi="Arial" w:cs="Arial"/>
          <w:color w:val="000000"/>
          <w:sz w:val="18"/>
          <w:szCs w:val="18"/>
        </w:rPr>
        <w:t xml:space="preserve">Este trabajo fue presentado en el panel “Jóvenes, violencias y organizaciones criminales. Una mirada preventiva y restaurativa” de las Jornadas de Capacitación y Debate “Políticas de persecución penal estratégica del crimen organizado”, coorganizadas por el Ministerio de Justicia y Derechos Humanos, el Ministerio de Seguridad, ambos de la </w:t>
      </w:r>
      <w:proofErr w:type="spellStart"/>
      <w:r>
        <w:rPr>
          <w:rFonts w:ascii="Arial" w:eastAsia="Arial" w:hAnsi="Arial" w:cs="Arial"/>
          <w:color w:val="000000"/>
          <w:sz w:val="18"/>
          <w:szCs w:val="18"/>
        </w:rPr>
        <w:t>Pcia</w:t>
      </w:r>
      <w:proofErr w:type="spellEnd"/>
      <w:r>
        <w:rPr>
          <w:rFonts w:ascii="Arial" w:eastAsia="Arial" w:hAnsi="Arial" w:cs="Arial"/>
          <w:color w:val="000000"/>
          <w:sz w:val="18"/>
          <w:szCs w:val="18"/>
        </w:rPr>
        <w:t xml:space="preserve">. de Buenos Aires, y la Universidad Nacional de Mar del Plata, y desarrolladas en la referida ciudad en noviembre de 2024. Se agradecen los comentarios y observaciones críticas del profesor Martiniano </w:t>
      </w:r>
      <w:proofErr w:type="spellStart"/>
      <w:r>
        <w:rPr>
          <w:rFonts w:ascii="Arial" w:eastAsia="Arial" w:hAnsi="Arial" w:cs="Arial"/>
          <w:color w:val="000000"/>
          <w:sz w:val="18"/>
          <w:szCs w:val="18"/>
        </w:rPr>
        <w:t>Terragni</w:t>
      </w:r>
      <w:proofErr w:type="spellEnd"/>
      <w:r>
        <w:rPr>
          <w:rFonts w:ascii="Arial" w:eastAsia="Arial" w:hAnsi="Arial" w:cs="Arial"/>
          <w:color w:val="000000"/>
          <w:sz w:val="18"/>
          <w:szCs w:val="18"/>
        </w:rPr>
        <w:t>.</w:t>
      </w:r>
    </w:p>
    <w:p w14:paraId="53611487" w14:textId="77777777" w:rsidR="00F75B31" w:rsidRDefault="00F75B31">
      <w:pPr>
        <w:pBdr>
          <w:top w:val="nil"/>
          <w:left w:val="nil"/>
          <w:bottom w:val="nil"/>
          <w:right w:val="nil"/>
          <w:between w:val="nil"/>
        </w:pBdr>
        <w:spacing w:after="0" w:line="240" w:lineRule="auto"/>
        <w:jc w:val="both"/>
        <w:rPr>
          <w:rFonts w:ascii="Arial" w:eastAsia="Arial" w:hAnsi="Arial" w:cs="Arial"/>
          <w:color w:val="000000"/>
          <w:sz w:val="18"/>
          <w:szCs w:val="18"/>
        </w:rPr>
      </w:pPr>
    </w:p>
  </w:footnote>
  <w:footnote w:id="2">
    <w:p w14:paraId="4E5D701C"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En toda clase de delitos leves, entre ellos, delitos de tenencia con fines de consumo y tenencia simple de estupefacientes, el Ministerio Público Fiscal utiliza cotidianamente la herramienta de oportunidad, brindada por la ley 13.634.</w:t>
      </w:r>
    </w:p>
  </w:footnote>
  <w:footnote w:id="3">
    <w:p w14:paraId="71A2BFAE"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Así es práctica departamental tanto en los juicios orales de cesura, como en los arreglos de juicio abreviado o suspensión de juicio a prueba, tener en consideración, en todos los casos la escala prevista para la tentativa del delito endilgado. Para el caso de este delito imputado fuera tentado, su escala penal queda reducida también, teniendo en cuenta el art. 44 1er párrafo del C.P.</w:t>
      </w:r>
    </w:p>
  </w:footnote>
  <w:footnote w:id="4">
    <w:p w14:paraId="0BA06A6E"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highlight w:val="yellow"/>
        </w:rPr>
      </w:pPr>
      <w:r>
        <w:rPr>
          <w:vertAlign w:val="superscript"/>
        </w:rPr>
        <w:footnoteRef/>
      </w:r>
      <w:r>
        <w:rPr>
          <w:rFonts w:ascii="Arial" w:eastAsia="Arial" w:hAnsi="Arial" w:cs="Arial"/>
          <w:color w:val="000000"/>
          <w:sz w:val="18"/>
          <w:szCs w:val="18"/>
        </w:rPr>
        <w:t xml:space="preserve"> Al respecto, resulta emblemático el caso “L.G.S. s/homicidio calificado en grado de tentativa y otros” (Tribunal de Responsabilidad Penal Juvenil de Mar del Plata, </w:t>
      </w:r>
      <w:proofErr w:type="spellStart"/>
      <w:r>
        <w:rPr>
          <w:rFonts w:ascii="Arial" w:eastAsia="Arial" w:hAnsi="Arial" w:cs="Arial"/>
          <w:color w:val="000000"/>
          <w:sz w:val="18"/>
          <w:szCs w:val="18"/>
        </w:rPr>
        <w:t>sent</w:t>
      </w:r>
      <w:proofErr w:type="spellEnd"/>
      <w:r>
        <w:rPr>
          <w:rFonts w:ascii="Arial" w:eastAsia="Arial" w:hAnsi="Arial" w:cs="Arial"/>
          <w:color w:val="000000"/>
          <w:sz w:val="18"/>
          <w:szCs w:val="18"/>
        </w:rPr>
        <w:t>. Nro. 1364, 04/11/2024). En este, recientemente, se declaró la innecesaridad de aplicación de pena, a pedido del Agente Fiscal. Ello, aun cuando el Tribunal interviniente encontró responsable de los delitos de homicidio calificado en grado de tentativa y encubrimiento al adolescente involucrado. En el caso, fue esencial el abordaje restaurativo llevado a cabo por el joven en el período de cesura de juicio -de abordaje socio-educativo-.</w:t>
      </w:r>
    </w:p>
  </w:footnote>
  <w:footnote w:id="5">
    <w:p w14:paraId="241FA6F3" w14:textId="77777777" w:rsidR="00F75B31" w:rsidRDefault="003B6350">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Arial" w:eastAsia="Arial" w:hAnsi="Arial" w:cs="Arial"/>
          <w:color w:val="000000"/>
          <w:sz w:val="18"/>
          <w:szCs w:val="18"/>
        </w:rPr>
        <w:t xml:space="preserve"> Por criterio de la Excma. Cámara de Garantías en lo Penal </w:t>
      </w:r>
      <w:proofErr w:type="spellStart"/>
      <w:r>
        <w:rPr>
          <w:rFonts w:ascii="Arial" w:eastAsia="Arial" w:hAnsi="Arial" w:cs="Arial"/>
          <w:color w:val="000000"/>
          <w:sz w:val="18"/>
          <w:szCs w:val="18"/>
        </w:rPr>
        <w:t>Dptal</w:t>
      </w:r>
      <w:proofErr w:type="spellEnd"/>
      <w:r>
        <w:rPr>
          <w:rFonts w:ascii="Arial" w:eastAsia="Arial" w:hAnsi="Arial" w:cs="Arial"/>
          <w:color w:val="000000"/>
          <w:sz w:val="18"/>
          <w:szCs w:val="18"/>
        </w:rPr>
        <w:t>. estas medidas tienen un carácter excepcionalísimo y en ningún caso superan los 4 meses de privación de libertad. Entre muchas otras, Sala II, “</w:t>
      </w:r>
      <w:proofErr w:type="spellStart"/>
      <w:r>
        <w:rPr>
          <w:rFonts w:ascii="Arial" w:eastAsia="Arial" w:hAnsi="Arial" w:cs="Arial"/>
          <w:color w:val="000000"/>
          <w:sz w:val="18"/>
          <w:szCs w:val="18"/>
        </w:rPr>
        <w:t>Ravino</w:t>
      </w:r>
      <w:proofErr w:type="spellEnd"/>
      <w:r>
        <w:rPr>
          <w:rFonts w:ascii="Arial" w:eastAsia="Arial" w:hAnsi="Arial" w:cs="Arial"/>
          <w:color w:val="000000"/>
          <w:sz w:val="18"/>
          <w:szCs w:val="18"/>
        </w:rPr>
        <w:t>, Juan Manuel s/Habeas Corpus”, HC-3415-1, 23/02/2024 y Sala I, “S.G.A. s/robo agravado”, C.31141, 20/04/2018</w:t>
      </w:r>
      <w:r>
        <w:rPr>
          <w:color w:val="000000"/>
          <w:sz w:val="20"/>
          <w:szCs w:val="20"/>
        </w:rPr>
        <w:t>.</w:t>
      </w:r>
    </w:p>
  </w:footnote>
  <w:footnote w:id="6">
    <w:p w14:paraId="6D547976"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Al respecto, se ha indicado que “La disección de las viejas secretarías sociales de los tribunales de menores, se realizó sin darle al sistema administrativo recursos suficientes. Así se dice expresamente en el mensaje que el Poder Ejecutivo remite al Congreso para la nueva ley de responsabilidad penal juvenil. Tampoco se suplió en el sistema judicial este espacio de contención para niños víctimas. Dudo que este sistema unidimensional haya logrado su fin último: bajar el índice de delitos que cometen los niños y adolescentes. Sobre la cuestión no hay estadísticas” (Adler, D.E. (2021) “La justicia penal juvenil desde la perspectiva del niño víctima: hacia un cambio de paradigma”, Rev. Pena y Estado, 2021 nro. 2, pp. 21-40, p. 28).</w:t>
      </w:r>
    </w:p>
  </w:footnote>
  <w:footnote w:id="7">
    <w:p w14:paraId="5CC4A51E"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En un muy interesante análisis global de las reformas legales en Latinoamérica en materia de </w:t>
      </w:r>
      <w:proofErr w:type="spellStart"/>
      <w:r>
        <w:rPr>
          <w:rFonts w:ascii="Arial" w:eastAsia="Arial" w:hAnsi="Arial" w:cs="Arial"/>
          <w:color w:val="000000"/>
          <w:sz w:val="18"/>
          <w:szCs w:val="18"/>
        </w:rPr>
        <w:t>NNyA</w:t>
      </w:r>
      <w:proofErr w:type="spellEnd"/>
      <w:r>
        <w:rPr>
          <w:rFonts w:ascii="Arial" w:eastAsia="Arial" w:hAnsi="Arial" w:cs="Arial"/>
          <w:color w:val="000000"/>
          <w:sz w:val="18"/>
          <w:szCs w:val="18"/>
        </w:rPr>
        <w:t xml:space="preserve"> en la que se encuadró la de la </w:t>
      </w:r>
      <w:proofErr w:type="spellStart"/>
      <w:r>
        <w:rPr>
          <w:rFonts w:ascii="Arial" w:eastAsia="Arial" w:hAnsi="Arial" w:cs="Arial"/>
          <w:color w:val="000000"/>
          <w:sz w:val="18"/>
          <w:szCs w:val="18"/>
        </w:rPr>
        <w:t>Pcia</w:t>
      </w:r>
      <w:proofErr w:type="spellEnd"/>
      <w:r>
        <w:rPr>
          <w:rFonts w:ascii="Arial" w:eastAsia="Arial" w:hAnsi="Arial" w:cs="Arial"/>
          <w:color w:val="000000"/>
          <w:sz w:val="18"/>
          <w:szCs w:val="18"/>
        </w:rPr>
        <w:t xml:space="preserve">. Buenos Aires, </w:t>
      </w:r>
      <w:proofErr w:type="spellStart"/>
      <w:r>
        <w:rPr>
          <w:rFonts w:ascii="Arial" w:eastAsia="Arial" w:hAnsi="Arial" w:cs="Arial"/>
          <w:color w:val="000000"/>
          <w:sz w:val="18"/>
          <w:szCs w:val="18"/>
        </w:rPr>
        <w:t>Beloff</w:t>
      </w:r>
      <w:proofErr w:type="spellEnd"/>
      <w:r>
        <w:rPr>
          <w:rFonts w:ascii="Arial" w:eastAsia="Arial" w:hAnsi="Arial" w:cs="Arial"/>
          <w:color w:val="000000"/>
          <w:sz w:val="18"/>
          <w:szCs w:val="18"/>
        </w:rPr>
        <w:t xml:space="preserve"> (2014) explica que “las reformas de las leyes de infancia se concentraron en las cuestiones relacionadas con la justicia juvenil y el problema de la delincuencia de las personas menores de edad conectadas con las diversas campañas de ley y orden que se han sucedido en estos años en la región. Los millones de niños en situación de pobreza no fueron el </w:t>
      </w:r>
      <w:proofErr w:type="spellStart"/>
      <w:r>
        <w:rPr>
          <w:rFonts w:ascii="Arial" w:eastAsia="Arial" w:hAnsi="Arial" w:cs="Arial"/>
          <w:color w:val="000000"/>
          <w:sz w:val="18"/>
          <w:szCs w:val="18"/>
        </w:rPr>
        <w:t>leit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motiv</w:t>
      </w:r>
      <w:proofErr w:type="spellEnd"/>
      <w:r>
        <w:rPr>
          <w:rFonts w:ascii="Arial" w:eastAsia="Arial" w:hAnsi="Arial" w:cs="Arial"/>
          <w:color w:val="000000"/>
          <w:sz w:val="18"/>
          <w:szCs w:val="18"/>
        </w:rPr>
        <w:t xml:space="preserve"> de la reforma; tampoco lo fue la garantía de los </w:t>
      </w:r>
      <w:proofErr w:type="spellStart"/>
      <w:r>
        <w:rPr>
          <w:rFonts w:ascii="Arial" w:eastAsia="Arial" w:hAnsi="Arial" w:cs="Arial"/>
          <w:color w:val="000000"/>
          <w:sz w:val="18"/>
          <w:szCs w:val="18"/>
        </w:rPr>
        <w:t>DESCs</w:t>
      </w:r>
      <w:proofErr w:type="spellEnd"/>
      <w:r>
        <w:rPr>
          <w:rFonts w:ascii="Arial" w:eastAsia="Arial" w:hAnsi="Arial" w:cs="Arial"/>
          <w:color w:val="000000"/>
          <w:sz w:val="18"/>
          <w:szCs w:val="18"/>
        </w:rPr>
        <w:t xml:space="preserve"> de los que son titulares niños y niñas. Por lo contrario, el </w:t>
      </w:r>
      <w:proofErr w:type="spellStart"/>
      <w:r>
        <w:rPr>
          <w:rFonts w:ascii="Arial" w:eastAsia="Arial" w:hAnsi="Arial" w:cs="Arial"/>
          <w:color w:val="000000"/>
          <w:sz w:val="18"/>
          <w:szCs w:val="18"/>
        </w:rPr>
        <w:t>obstinatto</w:t>
      </w:r>
      <w:proofErr w:type="spellEnd"/>
      <w:r>
        <w:rPr>
          <w:rFonts w:ascii="Arial" w:eastAsia="Arial" w:hAnsi="Arial" w:cs="Arial"/>
          <w:color w:val="000000"/>
          <w:sz w:val="18"/>
          <w:szCs w:val="18"/>
        </w:rPr>
        <w:t xml:space="preserve"> de todo el proceso de reforma fue tener mejores sistemas de justicia juvenil (si bien en la mayoría de los países de la región se aprobaron leyes o códigos integrales de protección de derechos del niño)” (</w:t>
      </w:r>
      <w:proofErr w:type="spellStart"/>
      <w:r>
        <w:rPr>
          <w:rFonts w:ascii="Arial" w:eastAsia="Arial" w:hAnsi="Arial" w:cs="Arial"/>
          <w:color w:val="000000"/>
          <w:sz w:val="18"/>
          <w:szCs w:val="18"/>
        </w:rPr>
        <w:t>Beloff</w:t>
      </w:r>
      <w:proofErr w:type="spellEnd"/>
      <w:r>
        <w:rPr>
          <w:rFonts w:ascii="Arial" w:eastAsia="Arial" w:hAnsi="Arial" w:cs="Arial"/>
          <w:color w:val="000000"/>
          <w:sz w:val="18"/>
          <w:szCs w:val="18"/>
        </w:rPr>
        <w:t>, M. (2014), “Reforma legal y derechos económicos y sociales de los niños: las paradojas de la ciudadanía”, Revista de Derecho Penal, FCU, nro. 20, 123-137). La provincia de Buenos Aires, como se demuestra, no fue la excepción.</w:t>
      </w:r>
    </w:p>
  </w:footnote>
  <w:footnote w:id="8">
    <w:p w14:paraId="7EFF5679"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Ac. 4099/2023 de la SCBA.</w:t>
      </w:r>
    </w:p>
  </w:footnote>
  <w:footnote w:id="9">
    <w:p w14:paraId="24A55359"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exposición de Carral, D. en las X Jornadas del Fuero Penal Juvenil de la </w:t>
      </w:r>
      <w:proofErr w:type="spellStart"/>
      <w:r>
        <w:rPr>
          <w:rFonts w:ascii="Arial" w:eastAsia="Arial" w:hAnsi="Arial" w:cs="Arial"/>
          <w:color w:val="000000"/>
          <w:sz w:val="18"/>
          <w:szCs w:val="18"/>
        </w:rPr>
        <w:t>Pcia</w:t>
      </w:r>
      <w:proofErr w:type="spellEnd"/>
      <w:r>
        <w:rPr>
          <w:rFonts w:ascii="Arial" w:eastAsia="Arial" w:hAnsi="Arial" w:cs="Arial"/>
          <w:color w:val="000000"/>
          <w:sz w:val="18"/>
          <w:szCs w:val="18"/>
        </w:rPr>
        <w:t>. de Buenos Aires, llevadas a cabo en la ciudad de La Plata, en agosto de 2024.</w:t>
      </w:r>
    </w:p>
  </w:footnote>
  <w:footnote w:id="10">
    <w:p w14:paraId="757B4CAE"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La Corte Interamericana, a partir de la sentencia de reparaciones y costas del caso Loayza Tamayo, ha hecho propio el concepto de “proyecto de vida”, y su protección; estableciendo incluso “el daño al proyecto de vida”. El Tribunal Interamericano define, en la referida sentencia, al proyecto de vida refiriendo que “El “proyecto de vida” se asocia al concepto de realización personal, que a su vez se sustenta en las opciones que el sujeto puede tener para conducir su vida y alcanzar el destino que se propone. En rigor, las opciones son la expresión y garantía de la libertad. Difícilmente se podría decir que una persona es verdaderamente libre si carece de opciones para encaminar su existencia y llevarla a su natural culminación. Esas opciones poseen, en sí mismas, un alto valor existencial” (Corte IDH. Caso Loayza Tamayo Vs. Perú. Reparaciones y Costas. Sentencia de 27 de noviembre de 1998. Serie C No. 42, párr. 148).</w:t>
      </w:r>
    </w:p>
  </w:footnote>
  <w:footnote w:id="11">
    <w:p w14:paraId="163996C4"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Para una profundización de los argumentos que obligan convencionalmente al Estado Argentino a contemplar una intervención judicial penal especializada, puede consultarse Freedman, D. y </w:t>
      </w:r>
      <w:proofErr w:type="spellStart"/>
      <w:r>
        <w:rPr>
          <w:rFonts w:ascii="Arial" w:eastAsia="Arial" w:hAnsi="Arial" w:cs="Arial"/>
          <w:color w:val="000000"/>
          <w:sz w:val="18"/>
          <w:szCs w:val="18"/>
        </w:rPr>
        <w:t>Terragni</w:t>
      </w:r>
      <w:proofErr w:type="spellEnd"/>
      <w:r>
        <w:rPr>
          <w:rFonts w:ascii="Arial" w:eastAsia="Arial" w:hAnsi="Arial" w:cs="Arial"/>
          <w:color w:val="000000"/>
          <w:sz w:val="18"/>
          <w:szCs w:val="18"/>
        </w:rPr>
        <w:t xml:space="preserve">, M. (2018), “Principio de especialidad en la justicia juvenil”, en </w:t>
      </w:r>
      <w:proofErr w:type="spellStart"/>
      <w:r>
        <w:rPr>
          <w:rFonts w:ascii="Arial" w:eastAsia="Arial" w:hAnsi="Arial" w:cs="Arial"/>
          <w:color w:val="000000"/>
          <w:sz w:val="18"/>
          <w:szCs w:val="18"/>
        </w:rPr>
        <w:t>Quinteiro</w:t>
      </w:r>
      <w:proofErr w:type="spellEnd"/>
      <w:r>
        <w:rPr>
          <w:rFonts w:ascii="Arial" w:eastAsia="Arial" w:hAnsi="Arial" w:cs="Arial"/>
          <w:color w:val="000000"/>
          <w:sz w:val="18"/>
          <w:szCs w:val="18"/>
        </w:rPr>
        <w:t xml:space="preserve">, A. (coord.), “Aportes para una justicia especializada para jóvenes en el conflicto con la Ley Penal”, Buenos Aires, Ed. </w:t>
      </w:r>
      <w:proofErr w:type="spellStart"/>
      <w:r>
        <w:rPr>
          <w:rFonts w:ascii="Arial" w:eastAsia="Arial" w:hAnsi="Arial" w:cs="Arial"/>
          <w:color w:val="000000"/>
          <w:sz w:val="18"/>
          <w:szCs w:val="18"/>
        </w:rPr>
        <w:t>Jusbaires</w:t>
      </w:r>
      <w:proofErr w:type="spellEnd"/>
      <w:r>
        <w:rPr>
          <w:rFonts w:ascii="Arial" w:eastAsia="Arial" w:hAnsi="Arial" w:cs="Arial"/>
          <w:color w:val="000000"/>
          <w:sz w:val="18"/>
          <w:szCs w:val="18"/>
        </w:rPr>
        <w:t>.</w:t>
      </w:r>
    </w:p>
  </w:footnote>
  <w:footnote w:id="12">
    <w:p w14:paraId="3A5991E1" w14:textId="2A640F84"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Explica el profesor Lillo Espinosa que “[l]a adolescencia constituye un período especial del desarrollo, del crecimiento y en la vida de cada individuo. Es una fase de transición entre un estadio, el infantil, para culminar en el adulto. Se trata de una etapa de elaboración de la identidad definitiva de cada sujeto que se plasmará en su individuación adulta. Todo ello supone un trabajo mental gradual, lento y lleno de dificultades que hacen de la adolescencia un episodio del que casi todo el mundo se avergüenza, se relega al olvido y que como dice J. Marías (1) "con facilidad o esfuerzo se confina... a la esfera de los malos sueños, o de lo que no ha existido". Esta labor se manifestará en un conjunto de complejos sintomáticos que resumen las luchas y en ocasiones violentos esfuerzos por resolver los retos que plantea el crecimiento y poder alcanzar el estadio adulto. Es lo que se ha venido en llamar el Síndrome Normal de la Adolescencia o la Crisis de la Adolescencia (Lillo Espinosa, J.L. (2004), “Crecimiento y comportamiento en la adolescencia”,  </w:t>
      </w:r>
      <w:hyperlink r:id="rId1">
        <w:r>
          <w:rPr>
            <w:rFonts w:ascii="Arial" w:eastAsia="Arial" w:hAnsi="Arial" w:cs="Arial"/>
            <w:color w:val="000000"/>
            <w:sz w:val="18"/>
            <w:szCs w:val="18"/>
          </w:rPr>
          <w:t>Revista de la Asociación Española de Neuropsiquiatría</w:t>
        </w:r>
      </w:hyperlink>
      <w:r>
        <w:rPr>
          <w:rFonts w:ascii="Arial" w:eastAsia="Arial" w:hAnsi="Arial" w:cs="Arial"/>
          <w:color w:val="000000"/>
          <w:sz w:val="18"/>
          <w:szCs w:val="18"/>
        </w:rPr>
        <w:t xml:space="preserve"> no.90, abr./jun. 2004, Madrid, p. 57).</w:t>
      </w:r>
      <w:r>
        <w:rPr>
          <w:rFonts w:ascii="Verdana" w:eastAsia="Verdana" w:hAnsi="Verdana" w:cs="Verdana"/>
          <w:color w:val="000000"/>
          <w:sz w:val="20"/>
          <w:szCs w:val="20"/>
        </w:rPr>
        <w:t> </w:t>
      </w:r>
      <w:bookmarkStart w:id="6" w:name="bookmark=id.xwswf5tye5wb" w:colFirst="0" w:colLast="0"/>
      <w:bookmarkEnd w:id="6"/>
    </w:p>
  </w:footnote>
  <w:footnote w:id="13">
    <w:p w14:paraId="193E32D1"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Desde la medicina especializada en adolescencia, Abadala afirma que "la rebeldía, la oposición, la terquedad, la independencia, el mal humor, la actitud anti autoridad, los cambios de estados de ánimo o lo inexplicable de ciertas conductas son lo observable de la suma de cambios psicológicos y orgánicos que no han finalizado </w:t>
      </w:r>
      <w:r>
        <w:rPr>
          <w:rFonts w:ascii="Arial" w:eastAsia="Arial" w:hAnsi="Arial" w:cs="Arial"/>
          <w:sz w:val="18"/>
          <w:szCs w:val="18"/>
        </w:rPr>
        <w:t>aún</w:t>
      </w:r>
      <w:r>
        <w:rPr>
          <w:rFonts w:ascii="Arial" w:eastAsia="Arial" w:hAnsi="Arial" w:cs="Arial"/>
          <w:color w:val="000000"/>
          <w:sz w:val="18"/>
          <w:szCs w:val="18"/>
        </w:rPr>
        <w:t xml:space="preserve"> de formarse" (Abadala, N. (2012), Revista Viva del 28/10/2012, p. 46).</w:t>
      </w:r>
    </w:p>
  </w:footnote>
  <w:footnote w:id="14">
    <w:p w14:paraId="023039BF"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Cfr. arts. 109 a 111 de la ley 10.450 de Entre Ríos. Como explica </w:t>
      </w:r>
      <w:proofErr w:type="spellStart"/>
      <w:r>
        <w:rPr>
          <w:rFonts w:ascii="Arial" w:eastAsia="Arial" w:hAnsi="Arial" w:cs="Arial"/>
          <w:color w:val="000000"/>
          <w:sz w:val="18"/>
          <w:szCs w:val="18"/>
        </w:rPr>
        <w:t>Barbirotto</w:t>
      </w:r>
      <w:proofErr w:type="spellEnd"/>
      <w:r>
        <w:rPr>
          <w:rFonts w:ascii="Arial" w:eastAsia="Arial" w:hAnsi="Arial" w:cs="Arial"/>
          <w:color w:val="000000"/>
          <w:sz w:val="18"/>
          <w:szCs w:val="18"/>
        </w:rPr>
        <w:t>, “la Procesabilidad consistente en la viabilidad de que los adolescentes de catorce (14) y/o quince (15) años de edad que cometan determinados delitos graves específicamente establecidos en la ley tengan el derecho a un proceso penal con todas las garantías penales y procesales reconocidas en la Constitución Nacional, los Tratados y Convenciones Internacionales que rigen la materia. Es menester mencionar que el proceso penal se realiza a los fines de determinar la participación o no en el hecho endilgado y no para imponer una pena. En este sentido se debe destacar que lo que no puede valorarse en un adolescente menor de dieciséis (16) años de edad es lo relativo a la penalidad de su conducta. Ello no implica que no deba probarse su autoría y participación” (</w:t>
      </w:r>
      <w:proofErr w:type="spellStart"/>
      <w:r>
        <w:rPr>
          <w:rFonts w:ascii="Arial" w:eastAsia="Arial" w:hAnsi="Arial" w:cs="Arial"/>
          <w:color w:val="000000"/>
          <w:sz w:val="18"/>
          <w:szCs w:val="18"/>
        </w:rPr>
        <w:t>Barbirotto</w:t>
      </w:r>
      <w:proofErr w:type="spellEnd"/>
      <w:r>
        <w:rPr>
          <w:rFonts w:ascii="Arial" w:eastAsia="Arial" w:hAnsi="Arial" w:cs="Arial"/>
          <w:color w:val="000000"/>
          <w:sz w:val="18"/>
          <w:szCs w:val="18"/>
        </w:rPr>
        <w:t xml:space="preserve">, P.A. (2018) “Adolescentes no punibles. Interpretación de la reforma introducida por la ley n 10.450”, en </w:t>
      </w:r>
      <w:proofErr w:type="spellStart"/>
      <w:r>
        <w:rPr>
          <w:rFonts w:ascii="Arial" w:eastAsia="Arial" w:hAnsi="Arial" w:cs="Arial"/>
          <w:color w:val="000000"/>
          <w:sz w:val="18"/>
          <w:szCs w:val="18"/>
        </w:rPr>
        <w:t>Barbirotto</w:t>
      </w:r>
      <w:proofErr w:type="spellEnd"/>
      <w:r>
        <w:rPr>
          <w:rFonts w:ascii="Arial" w:eastAsia="Arial" w:hAnsi="Arial" w:cs="Arial"/>
          <w:color w:val="000000"/>
          <w:sz w:val="18"/>
          <w:szCs w:val="18"/>
        </w:rPr>
        <w:t xml:space="preserve">, P.A. y Sarmiento, L. “El proceso penal para adolescentes no punibles en la provincia de Entre Ríos: un análisis desde la interdisciplina., Revista </w:t>
      </w:r>
      <w:proofErr w:type="spellStart"/>
      <w:r>
        <w:rPr>
          <w:rFonts w:ascii="Arial" w:eastAsia="Arial" w:hAnsi="Arial" w:cs="Arial"/>
          <w:color w:val="000000"/>
          <w:sz w:val="18"/>
          <w:szCs w:val="18"/>
        </w:rPr>
        <w:t>on</w:t>
      </w:r>
      <w:proofErr w:type="spellEnd"/>
      <w:r>
        <w:rPr>
          <w:rFonts w:ascii="Arial" w:eastAsia="Arial" w:hAnsi="Arial" w:cs="Arial"/>
          <w:color w:val="000000"/>
          <w:sz w:val="18"/>
          <w:szCs w:val="18"/>
        </w:rPr>
        <w:t xml:space="preserve"> line Pensamiento Penal, Doctrina 47043, p. 2/3. Disponible en: </w:t>
      </w:r>
      <w:hyperlink r:id="rId2">
        <w:r>
          <w:rPr>
            <w:rFonts w:ascii="Arial" w:eastAsia="Arial" w:hAnsi="Arial" w:cs="Arial"/>
            <w:color w:val="0000FF"/>
            <w:sz w:val="18"/>
            <w:szCs w:val="18"/>
            <w:u w:val="single"/>
          </w:rPr>
          <w:t>https://www.pensamientopenal.com.ar/system/files/2018/10/doctrina47043.pdf</w:t>
        </w:r>
      </w:hyperlink>
      <w:r>
        <w:rPr>
          <w:rFonts w:ascii="Arial" w:eastAsia="Arial" w:hAnsi="Arial" w:cs="Arial"/>
          <w:color w:val="000000"/>
          <w:sz w:val="18"/>
          <w:szCs w:val="18"/>
        </w:rPr>
        <w:t xml:space="preserve"> </w:t>
      </w:r>
    </w:p>
  </w:footnote>
  <w:footnote w:id="15">
    <w:p w14:paraId="0F24023F"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Me refiero en masculino, porque prácticamente la totalidad de las personas adolescentes no punibles en conflicto con la ley en este dpto. judicial en los últimos 5 años, son hombres. Muy interesante resulta también la </w:t>
      </w:r>
      <w:proofErr w:type="spellStart"/>
      <w:r>
        <w:rPr>
          <w:rFonts w:ascii="Arial" w:eastAsia="Arial" w:hAnsi="Arial" w:cs="Arial"/>
          <w:color w:val="000000"/>
          <w:sz w:val="18"/>
          <w:szCs w:val="18"/>
        </w:rPr>
        <w:t>invisiblización</w:t>
      </w:r>
      <w:proofErr w:type="spellEnd"/>
      <w:r>
        <w:rPr>
          <w:rFonts w:ascii="Arial" w:eastAsia="Arial" w:hAnsi="Arial" w:cs="Arial"/>
          <w:color w:val="000000"/>
          <w:sz w:val="18"/>
          <w:szCs w:val="18"/>
        </w:rPr>
        <w:t xml:space="preserve"> que han tenido las particularidades que presentan los casos en los que son imputadas niñas en el fuero penal juvenil. </w:t>
      </w:r>
      <w:proofErr w:type="spellStart"/>
      <w:r>
        <w:rPr>
          <w:rFonts w:ascii="Arial" w:eastAsia="Arial" w:hAnsi="Arial" w:cs="Arial"/>
          <w:color w:val="000000"/>
          <w:sz w:val="18"/>
          <w:szCs w:val="18"/>
        </w:rPr>
        <w:t>Beloff</w:t>
      </w:r>
      <w:proofErr w:type="spellEnd"/>
      <w:r>
        <w:rPr>
          <w:rFonts w:ascii="Arial" w:eastAsia="Arial" w:hAnsi="Arial" w:cs="Arial"/>
          <w:color w:val="000000"/>
          <w:sz w:val="18"/>
          <w:szCs w:val="18"/>
        </w:rPr>
        <w:t xml:space="preserve"> se ocupado de la temática en </w:t>
      </w:r>
      <w:proofErr w:type="spellStart"/>
      <w:r>
        <w:rPr>
          <w:rFonts w:ascii="Arial" w:eastAsia="Arial" w:hAnsi="Arial" w:cs="Arial"/>
          <w:color w:val="000000"/>
          <w:sz w:val="18"/>
          <w:szCs w:val="18"/>
        </w:rPr>
        <w:t>Beloff</w:t>
      </w:r>
      <w:proofErr w:type="spellEnd"/>
      <w:r>
        <w:rPr>
          <w:rFonts w:ascii="Arial" w:eastAsia="Arial" w:hAnsi="Arial" w:cs="Arial"/>
          <w:color w:val="000000"/>
          <w:sz w:val="18"/>
          <w:szCs w:val="18"/>
        </w:rPr>
        <w:t xml:space="preserve">, M. (2017), “La protección de los derechos de las niñas en la justicia juvenil”, Revista Electrónica. Instituto de Investigaciones Ambrosio L. </w:t>
      </w:r>
      <w:proofErr w:type="spellStart"/>
      <w:r>
        <w:rPr>
          <w:rFonts w:ascii="Arial" w:eastAsia="Arial" w:hAnsi="Arial" w:cs="Arial"/>
          <w:color w:val="000000"/>
          <w:sz w:val="18"/>
          <w:szCs w:val="18"/>
        </w:rPr>
        <w:t>Gioja</w:t>
      </w:r>
      <w:proofErr w:type="spellEnd"/>
      <w:r>
        <w:rPr>
          <w:rFonts w:ascii="Arial" w:eastAsia="Arial" w:hAnsi="Arial" w:cs="Arial"/>
          <w:color w:val="000000"/>
          <w:sz w:val="18"/>
          <w:szCs w:val="18"/>
        </w:rPr>
        <w:t>, Número 19, julio/diciembre 2017, pp. 55-81, Buenos Aires.</w:t>
      </w:r>
    </w:p>
  </w:footnote>
  <w:footnote w:id="16">
    <w:p w14:paraId="7376E4A8"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Ello, no quita que incluso en casos leves, los y las Agentes Fiscales intervinientes realicen una investigación sería de conformidad con los arts. 1 del </w:t>
      </w:r>
      <w:proofErr w:type="spellStart"/>
      <w:r>
        <w:rPr>
          <w:rFonts w:ascii="Arial" w:eastAsia="Arial" w:hAnsi="Arial" w:cs="Arial"/>
          <w:color w:val="000000"/>
          <w:sz w:val="18"/>
          <w:szCs w:val="18"/>
        </w:rPr>
        <w:t>dec</w:t>
      </w:r>
      <w:proofErr w:type="spellEnd"/>
      <w:r>
        <w:rPr>
          <w:rFonts w:ascii="Arial" w:eastAsia="Arial" w:hAnsi="Arial" w:cs="Arial"/>
          <w:color w:val="000000"/>
          <w:sz w:val="18"/>
          <w:szCs w:val="18"/>
        </w:rPr>
        <w:t>-ley 22.278 y 63 de la ley 13.634.</w:t>
      </w:r>
    </w:p>
  </w:footnote>
  <w:footnote w:id="17">
    <w:p w14:paraId="332EF399" w14:textId="220C170D"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Entre otros, T. Casación, Sala III, C. Nº110.332, “R., </w:t>
      </w:r>
      <w:proofErr w:type="spellStart"/>
      <w:r>
        <w:rPr>
          <w:rFonts w:ascii="Arial" w:eastAsia="Arial" w:hAnsi="Arial" w:cs="Arial"/>
          <w:color w:val="000000"/>
          <w:sz w:val="18"/>
          <w:szCs w:val="18"/>
        </w:rPr>
        <w:t>M.s</w:t>
      </w:r>
      <w:proofErr w:type="spellEnd"/>
      <w:r>
        <w:rPr>
          <w:rFonts w:ascii="Arial" w:eastAsia="Arial" w:hAnsi="Arial" w:cs="Arial"/>
          <w:color w:val="000000"/>
          <w:sz w:val="18"/>
          <w:szCs w:val="18"/>
        </w:rPr>
        <w:t xml:space="preserve">/ recurso de casación interpuesto por la particular damnificada, 05/05/2022, </w:t>
      </w:r>
      <w:proofErr w:type="spellStart"/>
      <w:r>
        <w:rPr>
          <w:rFonts w:ascii="Arial" w:eastAsia="Arial" w:hAnsi="Arial" w:cs="Arial"/>
          <w:color w:val="000000"/>
          <w:sz w:val="18"/>
          <w:szCs w:val="18"/>
        </w:rPr>
        <w:t>CAyGP</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MdP</w:t>
      </w:r>
      <w:proofErr w:type="spellEnd"/>
      <w:r>
        <w:rPr>
          <w:rFonts w:ascii="Arial" w:eastAsia="Arial" w:hAnsi="Arial" w:cs="Arial"/>
          <w:color w:val="000000"/>
          <w:sz w:val="18"/>
          <w:szCs w:val="18"/>
        </w:rPr>
        <w:t>, Sala I, C.N 35077, "T.J.C. s/ abuso sexual”, IPP 2689-21, 23/05/2022, J.G.8 Lomas de Zamora, PP-07-00-034786-21/00, “H.A.B s/abuso sexual”, 01/03/2024, TOC 4 La Plata, C. 5502, “U.M.R. s/abuso sexual con acceso carnal a una menor de dieciocho años”, 12/11/2024.</w:t>
      </w:r>
    </w:p>
  </w:footnote>
  <w:footnote w:id="18">
    <w:p w14:paraId="2B440415"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Arts. 109 a 111 de la ley 10.450 de Entre Ríos, arts. 52 a 54 de la ley 11.452 de Santa Fe y art. 36 de la ley 2951-M de Chaco.</w:t>
      </w:r>
    </w:p>
  </w:footnote>
  <w:footnote w:id="19">
    <w:p w14:paraId="6B5D68C0"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El presente trabajo se circunscribe a la realidad vivenciada respecto de la temática en la justicia ordinaria de la provincia de Buenos Aires, con acento en el dpto. judicial de Mar del Plata. Para un análisis, de la vinculación de la Justicia Federal en la persecución de los delitos de drogas y la especialización que requiere la intervención de niños, niñas y adolescentes, puede consultarse, </w:t>
      </w:r>
      <w:proofErr w:type="spellStart"/>
      <w:r>
        <w:rPr>
          <w:rFonts w:ascii="Arial" w:eastAsia="Arial" w:hAnsi="Arial" w:cs="Arial"/>
          <w:color w:val="000000"/>
          <w:sz w:val="18"/>
          <w:szCs w:val="18"/>
        </w:rPr>
        <w:t>Terragni</w:t>
      </w:r>
      <w:proofErr w:type="spellEnd"/>
      <w:r>
        <w:rPr>
          <w:rFonts w:ascii="Arial" w:eastAsia="Arial" w:hAnsi="Arial" w:cs="Arial"/>
          <w:color w:val="000000"/>
          <w:sz w:val="18"/>
          <w:szCs w:val="18"/>
        </w:rPr>
        <w:t>, M. (2009), “La justicia federal y el principio de justicia especializada: tensiones en la jurisprudencia”, Revista de Derecho Penal y Procesal Penal 5/2009, Sección justicia juvenil, pp. 833/841.</w:t>
      </w:r>
    </w:p>
  </w:footnote>
  <w:footnote w:id="20">
    <w:p w14:paraId="798886C2"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 xml:space="preserve"> Paradójicamente, además, la institución de encierro de adolescentes para periodos extendidos en Mar del Plata no cuenta con un dispositivo específico para abordar los casos de consumo problemático, sino que los debe trabajar a partir de la intervención de otras instituciones.</w:t>
      </w:r>
    </w:p>
  </w:footnote>
  <w:footnote w:id="21">
    <w:p w14:paraId="05A6A7CE"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CSJN, Arriola, S. y otros s/causa nro. 9080, </w:t>
      </w:r>
      <w:r>
        <w:rPr>
          <w:rFonts w:ascii="Arial" w:eastAsia="Arial" w:hAnsi="Arial" w:cs="Arial"/>
          <w:i/>
          <w:color w:val="000000"/>
          <w:sz w:val="18"/>
          <w:szCs w:val="18"/>
        </w:rPr>
        <w:t>Fallos</w:t>
      </w:r>
      <w:r>
        <w:rPr>
          <w:rFonts w:ascii="Arial" w:eastAsia="Arial" w:hAnsi="Arial" w:cs="Arial"/>
          <w:color w:val="000000"/>
          <w:sz w:val="18"/>
          <w:szCs w:val="18"/>
        </w:rPr>
        <w:t xml:space="preserve">: 332:1963, 25/08/2009. En aquella ocasión, en su voto concurrente el ministro Fayt observó que “si lo que se pretendía era la persecución eficaz del narcotráfico, lo cierto es que poco o nada ha podido contribuir a tal fin, la criminalización del consumidor que como imputado no tiene obligación de decir verdad (ni puede incurrir en el delito de falso testimonio), a diferencia de aquellos que pueden ser llamados como testigos”. En similar dirección, en su también voto concurrente, Zaffaroni indicó que “el procesamiento de usuarios obstaculiza la persecución penal del tráfico o, al menos, del expendio minorista, pues el usuario imputado goza de los beneficios que la naturaleza de acto de defensa otorga a la declaración indagatoria y, en consecuencia, puede legalmente negarse a declarar revelando la fuente de provisión del tóxico, cosa que no podría hacer en el supuesto en que se le interrogara en condición de testigo, so pena de incurrir en la sanción del testigo remiso o falso”. </w:t>
      </w:r>
    </w:p>
  </w:footnote>
  <w:footnote w:id="22">
    <w:p w14:paraId="65804FE4"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Al respecto, la Comisión Interamericana de Derechos Humanos ha indicado que “es importante destacar que la gran mayoría de los niños, niñas y adolescentes que se dedican al </w:t>
      </w:r>
      <w:proofErr w:type="spellStart"/>
      <w:r>
        <w:rPr>
          <w:rFonts w:ascii="Arial" w:eastAsia="Arial" w:hAnsi="Arial" w:cs="Arial"/>
          <w:color w:val="000000"/>
          <w:sz w:val="18"/>
          <w:szCs w:val="18"/>
        </w:rPr>
        <w:t>micro-tráfico</w:t>
      </w:r>
      <w:proofErr w:type="spellEnd"/>
      <w:r>
        <w:rPr>
          <w:rFonts w:ascii="Arial" w:eastAsia="Arial" w:hAnsi="Arial" w:cs="Arial"/>
          <w:color w:val="000000"/>
          <w:sz w:val="18"/>
          <w:szCs w:val="18"/>
        </w:rPr>
        <w:t xml:space="preserve"> son ellos mismos consumidores de drogas y que la adición es una de las estrategias para captarlos y mantenerlos como </w:t>
      </w:r>
      <w:proofErr w:type="spellStart"/>
      <w:r>
        <w:rPr>
          <w:rFonts w:ascii="Arial" w:eastAsia="Arial" w:hAnsi="Arial" w:cs="Arial"/>
          <w:color w:val="000000"/>
          <w:sz w:val="18"/>
          <w:szCs w:val="18"/>
        </w:rPr>
        <w:t>micro-vendedores</w:t>
      </w:r>
      <w:proofErr w:type="spellEnd"/>
      <w:r>
        <w:rPr>
          <w:rFonts w:ascii="Arial" w:eastAsia="Arial" w:hAnsi="Arial" w:cs="Arial"/>
          <w:color w:val="000000"/>
          <w:sz w:val="18"/>
          <w:szCs w:val="18"/>
        </w:rPr>
        <w:t>, pagándoles en parte con droga” (CIDH (2015), “Violencia, Niñez y Crimen Organizado”, OEA/</w:t>
      </w:r>
      <w:proofErr w:type="spellStart"/>
      <w:r>
        <w:rPr>
          <w:rFonts w:ascii="Arial" w:eastAsia="Arial" w:hAnsi="Arial" w:cs="Arial"/>
          <w:color w:val="000000"/>
          <w:sz w:val="18"/>
          <w:szCs w:val="18"/>
        </w:rPr>
        <w:t>Ser.L</w:t>
      </w:r>
      <w:proofErr w:type="spellEnd"/>
      <w:r>
        <w:rPr>
          <w:rFonts w:ascii="Arial" w:eastAsia="Arial" w:hAnsi="Arial" w:cs="Arial"/>
          <w:color w:val="000000"/>
          <w:sz w:val="18"/>
          <w:szCs w:val="18"/>
        </w:rPr>
        <w:t>/V/II.Doc. 40/15, p. 202).</w:t>
      </w:r>
    </w:p>
  </w:footnote>
  <w:footnote w:id="23">
    <w:p w14:paraId="0685D7AA"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proofErr w:type="spellStart"/>
      <w:r>
        <w:rPr>
          <w:rFonts w:ascii="Arial" w:eastAsia="Arial" w:hAnsi="Arial" w:cs="Arial"/>
          <w:color w:val="000000"/>
          <w:sz w:val="18"/>
          <w:szCs w:val="18"/>
        </w:rPr>
        <w:t>Axat</w:t>
      </w:r>
      <w:proofErr w:type="spellEnd"/>
      <w:r>
        <w:rPr>
          <w:rFonts w:ascii="Arial" w:eastAsia="Arial" w:hAnsi="Arial" w:cs="Arial"/>
          <w:color w:val="000000"/>
          <w:sz w:val="18"/>
          <w:szCs w:val="18"/>
        </w:rPr>
        <w:t>, J. (2021), “Deriva y Reclutamiento: cuando el delito juvenil esconde la trata de personas”, Revista Broquel, Año 2 · Número 15 · Julio 2021.</w:t>
      </w:r>
    </w:p>
  </w:footnote>
  <w:footnote w:id="24">
    <w:p w14:paraId="57AF5592"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Expedientes Ayala Pablo Ángel y otra s/infracción ley 23.737, </w:t>
      </w:r>
      <w:proofErr w:type="spellStart"/>
      <w:r>
        <w:rPr>
          <w:rFonts w:ascii="Arial" w:eastAsia="Arial" w:hAnsi="Arial" w:cs="Arial"/>
          <w:color w:val="000000"/>
          <w:sz w:val="18"/>
          <w:szCs w:val="18"/>
        </w:rPr>
        <w:t>expte</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N°</w:t>
      </w:r>
      <w:proofErr w:type="spellEnd"/>
      <w:r>
        <w:rPr>
          <w:rFonts w:ascii="Arial" w:eastAsia="Arial" w:hAnsi="Arial" w:cs="Arial"/>
          <w:color w:val="000000"/>
          <w:sz w:val="18"/>
          <w:szCs w:val="18"/>
        </w:rPr>
        <w:t xml:space="preserve"> FRO 6816/2013/TO1, Rosario, 2020. Vallejos Emanuel de la Cruz y otros s/infracción ley 23.737, </w:t>
      </w:r>
      <w:proofErr w:type="spellStart"/>
      <w:r>
        <w:rPr>
          <w:rFonts w:ascii="Arial" w:eastAsia="Arial" w:hAnsi="Arial" w:cs="Arial"/>
          <w:color w:val="000000"/>
          <w:sz w:val="18"/>
          <w:szCs w:val="18"/>
        </w:rPr>
        <w:t>exp</w:t>
      </w:r>
      <w:proofErr w:type="spellEnd"/>
      <w:r>
        <w:rPr>
          <w:rFonts w:ascii="Arial" w:eastAsia="Arial" w:hAnsi="Arial" w:cs="Arial"/>
          <w:color w:val="000000"/>
          <w:sz w:val="18"/>
          <w:szCs w:val="18"/>
        </w:rPr>
        <w:t xml:space="preserve"> te. </w:t>
      </w:r>
      <w:proofErr w:type="spellStart"/>
      <w:r>
        <w:rPr>
          <w:rFonts w:ascii="Arial" w:eastAsia="Arial" w:hAnsi="Arial" w:cs="Arial"/>
          <w:color w:val="000000"/>
          <w:sz w:val="18"/>
          <w:szCs w:val="18"/>
        </w:rPr>
        <w:t>N°</w:t>
      </w:r>
      <w:proofErr w:type="spellEnd"/>
      <w:r>
        <w:rPr>
          <w:rFonts w:ascii="Arial" w:eastAsia="Arial" w:hAnsi="Arial" w:cs="Arial"/>
          <w:color w:val="000000"/>
          <w:sz w:val="18"/>
          <w:szCs w:val="18"/>
        </w:rPr>
        <w:t xml:space="preserve"> 42000333/2011, Rosario 2015, citados por </w:t>
      </w:r>
      <w:proofErr w:type="spellStart"/>
      <w:r>
        <w:rPr>
          <w:rFonts w:ascii="Arial" w:eastAsia="Arial" w:hAnsi="Arial" w:cs="Arial"/>
          <w:color w:val="000000"/>
          <w:sz w:val="18"/>
          <w:szCs w:val="18"/>
        </w:rPr>
        <w:t>Cozzi</w:t>
      </w:r>
      <w:proofErr w:type="spellEnd"/>
      <w:r>
        <w:rPr>
          <w:rFonts w:ascii="Arial" w:eastAsia="Arial" w:hAnsi="Arial" w:cs="Arial"/>
          <w:color w:val="000000"/>
          <w:sz w:val="18"/>
          <w:szCs w:val="18"/>
        </w:rPr>
        <w:t xml:space="preserve">, E. (2021), “Soldaditos: Disputas de sentidos en torno a la participación de jóvenes de sectores populares en el mercado de drogas ilegalizadas en la ciudad de Rosario”, Revista del Ministerio Público de la Defensa Nº16. </w:t>
      </w:r>
      <w:proofErr w:type="gramStart"/>
      <w:r>
        <w:rPr>
          <w:rFonts w:ascii="Arial" w:eastAsia="Arial" w:hAnsi="Arial" w:cs="Arial"/>
          <w:color w:val="000000"/>
          <w:sz w:val="18"/>
          <w:szCs w:val="18"/>
        </w:rPr>
        <w:t>Diciembre</w:t>
      </w:r>
      <w:proofErr w:type="gramEnd"/>
      <w:r>
        <w:rPr>
          <w:rFonts w:ascii="Arial" w:eastAsia="Arial" w:hAnsi="Arial" w:cs="Arial"/>
          <w:color w:val="000000"/>
          <w:sz w:val="18"/>
          <w:szCs w:val="18"/>
        </w:rPr>
        <w:t xml:space="preserve"> 2021, pp.144/158, p. 153, nota al pie 17.</w:t>
      </w:r>
    </w:p>
  </w:footnote>
  <w:footnote w:id="25">
    <w:p w14:paraId="7C72A072" w14:textId="7777777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Si bien la gran mayoría de los casos en este dpto. judicial en los que personas adolescentes participan en el tráfico de estupefacientes se encontrarían vinculados a pequeñas organizaciones </w:t>
      </w:r>
      <w:proofErr w:type="spellStart"/>
      <w:r>
        <w:rPr>
          <w:rFonts w:ascii="Arial" w:eastAsia="Arial" w:hAnsi="Arial" w:cs="Arial"/>
          <w:color w:val="000000"/>
          <w:sz w:val="18"/>
          <w:szCs w:val="18"/>
        </w:rPr>
        <w:t>intra-familiares</w:t>
      </w:r>
      <w:proofErr w:type="spellEnd"/>
      <w:r>
        <w:rPr>
          <w:rFonts w:ascii="Arial" w:eastAsia="Arial" w:hAnsi="Arial" w:cs="Arial"/>
          <w:color w:val="000000"/>
          <w:sz w:val="18"/>
          <w:szCs w:val="18"/>
        </w:rPr>
        <w:t>, ha habido también algún caso en los que podrían formar parte de otro tipo de organizaciones más complejas.</w:t>
      </w:r>
    </w:p>
  </w:footnote>
  <w:footnote w:id="26">
    <w:p w14:paraId="54823085" w14:textId="1F538E45"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Corte Interamericana de Derechos Humanos (CIDH). (2015). Violencia, Niñez y Crimen Organizado.</w:t>
      </w:r>
      <w:r w:rsidR="00201B39">
        <w:rPr>
          <w:rFonts w:ascii="Arial" w:eastAsia="Arial" w:hAnsi="Arial" w:cs="Arial"/>
          <w:color w:val="000000"/>
          <w:sz w:val="18"/>
          <w:szCs w:val="18"/>
        </w:rPr>
        <w:t xml:space="preserve"> </w:t>
      </w:r>
      <w:r>
        <w:rPr>
          <w:rFonts w:ascii="Arial" w:eastAsia="Arial" w:hAnsi="Arial" w:cs="Arial"/>
          <w:color w:val="000000"/>
          <w:sz w:val="18"/>
          <w:szCs w:val="18"/>
        </w:rPr>
        <w:t xml:space="preserve">Sentencia del 11 de noviembre. p. 201.  </w:t>
      </w:r>
    </w:p>
  </w:footnote>
  <w:footnote w:id="27">
    <w:p w14:paraId="218C48F1" w14:textId="6385BB97" w:rsidR="00F75B31" w:rsidRDefault="003B6350">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sz w:val="18"/>
          <w:szCs w:val="18"/>
        </w:rPr>
        <w:t xml:space="preserve">Corte Interamericana de Derechos Humanos (CIDH). (2015). </w:t>
      </w:r>
      <w:r>
        <w:rPr>
          <w:rFonts w:ascii="Arial" w:eastAsia="Arial" w:hAnsi="Arial" w:cs="Arial"/>
          <w:i/>
          <w:sz w:val="18"/>
          <w:szCs w:val="18"/>
        </w:rPr>
        <w:t>Violencia, Niñez y Crimen Organizado</w:t>
      </w:r>
      <w:r>
        <w:rPr>
          <w:rFonts w:ascii="Arial" w:eastAsia="Arial" w:hAnsi="Arial" w:cs="Arial"/>
          <w:sz w:val="18"/>
          <w:szCs w:val="18"/>
        </w:rPr>
        <w:t>.</w:t>
      </w:r>
      <w:r w:rsidR="00201B39">
        <w:rPr>
          <w:rFonts w:ascii="Arial" w:eastAsia="Arial" w:hAnsi="Arial" w:cs="Arial"/>
          <w:sz w:val="18"/>
          <w:szCs w:val="18"/>
        </w:rPr>
        <w:t xml:space="preserve"> </w:t>
      </w:r>
      <w:r>
        <w:rPr>
          <w:rFonts w:ascii="Arial" w:eastAsia="Arial" w:hAnsi="Arial" w:cs="Arial"/>
          <w:sz w:val="18"/>
          <w:szCs w:val="18"/>
        </w:rPr>
        <w:t>Sentencia del 11 de noviembre.</w:t>
      </w:r>
      <w:r>
        <w:rPr>
          <w:rFonts w:ascii="Arial" w:eastAsia="Arial" w:hAnsi="Arial" w:cs="Arial"/>
          <w:color w:val="000000"/>
          <w:sz w:val="18"/>
          <w:szCs w:val="18"/>
        </w:rPr>
        <w:t xml:space="preserve"> p. 243.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2F57" w14:textId="77777777" w:rsidR="00F75B31" w:rsidRDefault="003B6350">
    <w:pPr>
      <w:pBdr>
        <w:top w:val="nil"/>
        <w:left w:val="nil"/>
        <w:bottom w:val="single" w:sz="6" w:space="1" w:color="000000"/>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Revista Nueva Crítica Penal</w:t>
    </w:r>
  </w:p>
  <w:p w14:paraId="385BF326" w14:textId="77777777" w:rsidR="00F75B31" w:rsidRDefault="00F75B31">
    <w:pPr>
      <w:pBdr>
        <w:top w:val="nil"/>
        <w:left w:val="nil"/>
        <w:bottom w:val="nil"/>
        <w:right w:val="nil"/>
        <w:between w:val="nil"/>
      </w:pBdr>
      <w:tabs>
        <w:tab w:val="center" w:pos="4252"/>
        <w:tab w:val="right" w:pos="8504"/>
      </w:tabs>
      <w:spacing w:after="0" w:line="240" w:lineRule="auto"/>
      <w:jc w:val="right"/>
      <w:rPr>
        <w:color w:val="000000"/>
      </w:rPr>
    </w:pPr>
  </w:p>
  <w:p w14:paraId="3A8BCAC7" w14:textId="77777777" w:rsidR="00F75B31" w:rsidRDefault="00F75B31">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B296" w14:textId="77777777" w:rsidR="00F75B31" w:rsidRDefault="00F75B31">
    <w:pPr>
      <w:pBdr>
        <w:top w:val="nil"/>
        <w:left w:val="nil"/>
        <w:bottom w:val="nil"/>
        <w:right w:val="nil"/>
        <w:between w:val="nil"/>
      </w:pBdr>
      <w:tabs>
        <w:tab w:val="center" w:pos="4252"/>
        <w:tab w:val="right" w:pos="8504"/>
      </w:tabs>
      <w:spacing w:after="0" w:line="240" w:lineRule="auto"/>
      <w:rPr>
        <w:color w:val="000000"/>
      </w:rPr>
    </w:pPr>
  </w:p>
  <w:p w14:paraId="6ED6DA23" w14:textId="77777777" w:rsidR="00F75B31" w:rsidRDefault="003B6350">
    <w:pPr>
      <w:pBdr>
        <w:top w:val="nil"/>
        <w:left w:val="nil"/>
        <w:bottom w:val="single" w:sz="6" w:space="1" w:color="000000"/>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Revista Nueva Crítica Penal</w:t>
    </w:r>
  </w:p>
  <w:p w14:paraId="437B7304" w14:textId="77777777" w:rsidR="00F75B31" w:rsidRDefault="00F75B31">
    <w:pPr>
      <w:pBdr>
        <w:top w:val="nil"/>
        <w:left w:val="nil"/>
        <w:bottom w:val="nil"/>
        <w:right w:val="nil"/>
        <w:between w:val="nil"/>
      </w:pBdr>
      <w:tabs>
        <w:tab w:val="center" w:pos="4252"/>
        <w:tab w:val="right" w:pos="8504"/>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45127"/>
    <w:multiLevelType w:val="multilevel"/>
    <w:tmpl w:val="0E926BB6"/>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4250A9E"/>
    <w:multiLevelType w:val="multilevel"/>
    <w:tmpl w:val="0E30C5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952DD4"/>
    <w:multiLevelType w:val="multilevel"/>
    <w:tmpl w:val="B2E233DA"/>
    <w:lvl w:ilvl="0">
      <w:start w:val="1"/>
      <w:numFmt w:val="low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B31"/>
    <w:rsid w:val="000B1EA0"/>
    <w:rsid w:val="001842E7"/>
    <w:rsid w:val="00184B6A"/>
    <w:rsid w:val="00201B39"/>
    <w:rsid w:val="003B6350"/>
    <w:rsid w:val="00454C53"/>
    <w:rsid w:val="00483C46"/>
    <w:rsid w:val="004C4E8B"/>
    <w:rsid w:val="005401B2"/>
    <w:rsid w:val="00554E41"/>
    <w:rsid w:val="007E6D52"/>
    <w:rsid w:val="008318E6"/>
    <w:rsid w:val="00871744"/>
    <w:rsid w:val="00AB4EB3"/>
    <w:rsid w:val="00AC1FE6"/>
    <w:rsid w:val="00AD0D8A"/>
    <w:rsid w:val="00C066C0"/>
    <w:rsid w:val="00CB72B0"/>
    <w:rsid w:val="00CD23F1"/>
    <w:rsid w:val="00E97BF4"/>
    <w:rsid w:val="00F71219"/>
    <w:rsid w:val="00F75B31"/>
    <w:rsid w:val="00FF2A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C1CE"/>
  <w15:docId w15:val="{D1152921-1AEE-4519-93CC-EB8B2F5B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hd w:val="clear" w:color="auto" w:fill="FFFFFF"/>
      <w:spacing w:after="0" w:line="360" w:lineRule="auto"/>
      <w:jc w:val="center"/>
      <w:outlineLvl w:val="0"/>
    </w:pPr>
    <w:rPr>
      <w:rFonts w:ascii="Arial" w:eastAsia="Arial" w:hAnsi="Arial" w:cs="Arial"/>
      <w:b/>
      <w:sz w:val="24"/>
      <w:szCs w:val="24"/>
    </w:rPr>
  </w:style>
  <w:style w:type="paragraph" w:styleId="Ttulo2">
    <w:name w:val="heading 2"/>
    <w:basedOn w:val="Normal"/>
    <w:link w:val="Ttulo2Car"/>
    <w:uiPriority w:val="9"/>
    <w:unhideWhenUsed/>
    <w:qFormat/>
    <w:rsid w:val="000118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semiHidden/>
    <w:unhideWhenUsed/>
    <w:qFormat/>
    <w:rsid w:val="000118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ar"/>
    <w:uiPriority w:val="9"/>
    <w:semiHidden/>
    <w:unhideWhenUsed/>
    <w:qFormat/>
    <w:rsid w:val="0001187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6C590D"/>
    <w:pPr>
      <w:ind w:left="720"/>
      <w:contextualSpacing/>
    </w:pPr>
  </w:style>
  <w:style w:type="paragraph" w:customStyle="1" w:styleId="Default">
    <w:name w:val="Default"/>
    <w:rsid w:val="00C61B55"/>
    <w:pPr>
      <w:autoSpaceDE w:val="0"/>
      <w:autoSpaceDN w:val="0"/>
      <w:adjustRightInd w:val="0"/>
      <w:spacing w:after="0" w:line="240" w:lineRule="auto"/>
    </w:pPr>
    <w:rPr>
      <w:rFonts w:ascii="Calisto MT" w:hAnsi="Calisto MT" w:cs="Calisto MT"/>
      <w:color w:val="000000"/>
      <w:sz w:val="24"/>
      <w:szCs w:val="24"/>
    </w:rPr>
  </w:style>
  <w:style w:type="paragraph" w:styleId="NormalWeb">
    <w:name w:val="Normal (Web)"/>
    <w:basedOn w:val="Normal"/>
    <w:uiPriority w:val="99"/>
    <w:semiHidden/>
    <w:unhideWhenUsed/>
    <w:rsid w:val="00646C3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46C3C"/>
    <w:rPr>
      <w:b/>
      <w:bCs/>
    </w:rPr>
  </w:style>
  <w:style w:type="paragraph" w:styleId="Textonotapie">
    <w:name w:val="footnote text"/>
    <w:basedOn w:val="Normal"/>
    <w:link w:val="TextonotapieCar"/>
    <w:uiPriority w:val="99"/>
    <w:unhideWhenUsed/>
    <w:rsid w:val="0009618B"/>
    <w:pPr>
      <w:spacing w:after="0" w:line="240" w:lineRule="auto"/>
    </w:pPr>
    <w:rPr>
      <w:sz w:val="20"/>
      <w:szCs w:val="20"/>
    </w:rPr>
  </w:style>
  <w:style w:type="character" w:customStyle="1" w:styleId="TextonotapieCar">
    <w:name w:val="Texto nota pie Car"/>
    <w:basedOn w:val="Fuentedeprrafopredeter"/>
    <w:link w:val="Textonotapie"/>
    <w:uiPriority w:val="99"/>
    <w:rsid w:val="0009618B"/>
    <w:rPr>
      <w:sz w:val="20"/>
      <w:szCs w:val="20"/>
    </w:rPr>
  </w:style>
  <w:style w:type="character" w:styleId="Refdenotaalpie">
    <w:name w:val="footnote reference"/>
    <w:basedOn w:val="Fuentedeprrafopredeter"/>
    <w:uiPriority w:val="99"/>
    <w:semiHidden/>
    <w:unhideWhenUsed/>
    <w:rsid w:val="0009618B"/>
    <w:rPr>
      <w:vertAlign w:val="superscript"/>
    </w:rPr>
  </w:style>
  <w:style w:type="paragraph" w:styleId="Textodeglobo">
    <w:name w:val="Balloon Text"/>
    <w:basedOn w:val="Normal"/>
    <w:link w:val="TextodegloboCar"/>
    <w:uiPriority w:val="99"/>
    <w:semiHidden/>
    <w:unhideWhenUsed/>
    <w:rsid w:val="003320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200D"/>
    <w:rPr>
      <w:rFonts w:ascii="Segoe UI" w:hAnsi="Segoe UI" w:cs="Segoe UI"/>
      <w:sz w:val="18"/>
      <w:szCs w:val="18"/>
    </w:rPr>
  </w:style>
  <w:style w:type="character" w:customStyle="1" w:styleId="Ttulo2Car">
    <w:name w:val="Título 2 Car"/>
    <w:basedOn w:val="Fuentedeprrafopredeter"/>
    <w:link w:val="Ttulo2"/>
    <w:uiPriority w:val="9"/>
    <w:rsid w:val="00011879"/>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011879"/>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rsid w:val="00011879"/>
    <w:rPr>
      <w:rFonts w:ascii="Times New Roman" w:eastAsia="Times New Roman" w:hAnsi="Times New Roman" w:cs="Times New Roman"/>
      <w:b/>
      <w:bCs/>
      <w:sz w:val="24"/>
      <w:szCs w:val="24"/>
      <w:lang w:eastAsia="es-AR"/>
    </w:rPr>
  </w:style>
  <w:style w:type="character" w:styleId="Hipervnculo">
    <w:name w:val="Hyperlink"/>
    <w:basedOn w:val="Fuentedeprrafopredeter"/>
    <w:uiPriority w:val="99"/>
    <w:unhideWhenUsed/>
    <w:rsid w:val="00011879"/>
    <w:rPr>
      <w:color w:val="0000FF"/>
      <w:u w:val="single"/>
    </w:rPr>
  </w:style>
  <w:style w:type="character" w:styleId="nfasis">
    <w:name w:val="Emphasis"/>
    <w:basedOn w:val="Fuentedeprrafopredeter"/>
    <w:uiPriority w:val="20"/>
    <w:qFormat/>
    <w:rsid w:val="00011879"/>
    <w:rPr>
      <w:i/>
      <w:iCs/>
    </w:rPr>
  </w:style>
  <w:style w:type="paragraph" w:styleId="Encabezado">
    <w:name w:val="header"/>
    <w:basedOn w:val="Normal"/>
    <w:link w:val="EncabezadoCar"/>
    <w:uiPriority w:val="99"/>
    <w:unhideWhenUsed/>
    <w:rsid w:val="006651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12D"/>
  </w:style>
  <w:style w:type="paragraph" w:styleId="Piedepgina">
    <w:name w:val="footer"/>
    <w:basedOn w:val="Normal"/>
    <w:link w:val="PiedepginaCar"/>
    <w:uiPriority w:val="99"/>
    <w:unhideWhenUsed/>
    <w:rsid w:val="006651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512D"/>
  </w:style>
  <w:style w:type="character" w:styleId="Refdecomentario">
    <w:name w:val="annotation reference"/>
    <w:basedOn w:val="Fuentedeprrafopredeter"/>
    <w:uiPriority w:val="99"/>
    <w:semiHidden/>
    <w:unhideWhenUsed/>
    <w:rsid w:val="008140C9"/>
    <w:rPr>
      <w:sz w:val="16"/>
      <w:szCs w:val="16"/>
    </w:rPr>
  </w:style>
  <w:style w:type="paragraph" w:styleId="Textocomentario">
    <w:name w:val="annotation text"/>
    <w:basedOn w:val="Normal"/>
    <w:link w:val="TextocomentarioCar"/>
    <w:uiPriority w:val="99"/>
    <w:semiHidden/>
    <w:unhideWhenUsed/>
    <w:rsid w:val="008140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40C9"/>
    <w:rPr>
      <w:sz w:val="20"/>
      <w:szCs w:val="20"/>
    </w:rPr>
  </w:style>
  <w:style w:type="paragraph" w:styleId="Asuntodelcomentario">
    <w:name w:val="annotation subject"/>
    <w:basedOn w:val="Textocomentario"/>
    <w:next w:val="Textocomentario"/>
    <w:link w:val="AsuntodelcomentarioCar"/>
    <w:uiPriority w:val="99"/>
    <w:semiHidden/>
    <w:unhideWhenUsed/>
    <w:rsid w:val="008140C9"/>
    <w:rPr>
      <w:b/>
      <w:bCs/>
    </w:rPr>
  </w:style>
  <w:style w:type="character" w:customStyle="1" w:styleId="AsuntodelcomentarioCar">
    <w:name w:val="Asunto del comentario Car"/>
    <w:basedOn w:val="TextocomentarioCar"/>
    <w:link w:val="Asuntodelcomentario"/>
    <w:uiPriority w:val="99"/>
    <w:semiHidden/>
    <w:rsid w:val="008140C9"/>
    <w:rPr>
      <w:b/>
      <w:bCs/>
      <w:sz w:val="20"/>
      <w:szCs w:val="20"/>
    </w:rPr>
  </w:style>
  <w:style w:type="character" w:styleId="Mencinsinresolver">
    <w:name w:val="Unresolved Mention"/>
    <w:basedOn w:val="Fuentedeprrafopredeter"/>
    <w:uiPriority w:val="99"/>
    <w:semiHidden/>
    <w:unhideWhenUsed/>
    <w:rsid w:val="00F00B1C"/>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broquel.ptn.gob.ar/2021/07/02/deriva-y-reclutamient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vistas.derecho.uba.ar/index.php/revista-gioja/article/view/184/162"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pensamientopenal.com.ar/system/files/2018/10/doctrina47043.pdf" TargetMode="External"/><Relationship Id="rId1" Type="http://schemas.openxmlformats.org/officeDocument/2006/relationships/hyperlink" Target="https://scielo.isciii.es/scielo.php?script=sci_serial&amp;pid=0211-5735&amp;lng=es&amp;nrm=is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35SZTA2U1vLyN87mvUU/BZoPYQ==">CgMxLjAyDmguZWU1eG40eWcxaXgxMg5oLmU2dXBxbXd4dXVwMDIOaC5jbWY2NGY1ZTh4NGUyDmgudGc1MjdtZW5hZTBpMg5oLnE4ajdvZnJjMmswdDIOaC45cmFwZmI5ZDQ1cXoyDmguYjd3NmN3bjU4Zm9mMg5oLm5xdThtdTY5dzMzbjIOaC5hYXlvY3Z4eTlmcjcyDmguYXQ0bTcwbmFxaHl5Mg5oLmxuenl2amoyajRveTIOaC5pbGNoZXRjaW15aXoyD2lkLnh3c3dmNXR5ZTV3YjgAciExb19PNWZHbXA4T01TZFgxejVvdEU5RUZYSkF1c28tZ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4699</Words>
  <Characters>25845</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Qué implica hacer una Justicia especializada en Niños, Niñas y Adolescentes. Su impacto en las políticas de persecución de las drogas</dc:title>
  <dc:creator>federico adler</dc:creator>
  <cp:keywords>Justicia Penal Juvenil - Justicia restaurativa - delitos de drogas – enfoque de derechos</cp:keywords>
  <cp:lastModifiedBy>Eduardo Javier Di Iorio</cp:lastModifiedBy>
  <cp:revision>7</cp:revision>
  <dcterms:created xsi:type="dcterms:W3CDTF">2025-06-24T17:27:00Z</dcterms:created>
  <dcterms:modified xsi:type="dcterms:W3CDTF">2025-06-24T17:46:00Z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ioma">
    <vt:lpwstr>español</vt:lpwstr>
  </property>
  <property fmtid="{D5CDD505-2E9C-101B-9397-08002B2CF9AE}" pid="3" name="Editor">
    <vt:lpwstr>Revista Nueva Critica Penal</vt:lpwstr>
  </property>
  <property fmtid="{D5CDD505-2E9C-101B-9397-08002B2CF9AE}" pid="4" name="LICENCIA - COPYRIGHT">
    <vt:lpwstr>Licencia Creative Commons 4.0 Internacional (CC BY-NC-ND 4.0)</vt:lpwstr>
  </property>
  <property fmtid="{D5CDD505-2E9C-101B-9397-08002B2CF9AE}" pid="5" name="maquetacion">
    <vt:lpwstr>Camila Giuliana Guillen</vt:lpwstr>
  </property>
  <property fmtid="{D5CDD505-2E9C-101B-9397-08002B2CF9AE}" pid="6" name="Correccion de estilo">
    <vt:lpwstr>Juan Pablo Ratto</vt:lpwstr>
  </property>
</Properties>
</file>